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F434C" w14:textId="0AF60058" w:rsidR="00EA2A9C" w:rsidRDefault="00EA2A9C" w:rsidP="00EA2A9C">
      <w:pPr>
        <w:pStyle w:val="BodyText"/>
        <w:ind w:left="113"/>
        <w:rPr>
          <w:b/>
          <w:sz w:val="20"/>
        </w:rPr>
      </w:pPr>
      <w:r w:rsidRPr="00EA2A9C">
        <w:rPr>
          <w:i w:val="0"/>
          <w:iCs w:val="0"/>
          <w:color w:val="00000A"/>
          <w:sz w:val="40"/>
          <w:szCs w:val="40"/>
          <w:lang w:val="en-GB"/>
        </w:rPr>
        <w:t>Status Assessment</w:t>
      </w:r>
      <w:r>
        <w:rPr>
          <w:i w:val="0"/>
          <w:iCs w:val="0"/>
          <w:color w:val="00000A"/>
          <w:sz w:val="40"/>
          <w:szCs w:val="40"/>
          <w:lang w:val="en-GB"/>
        </w:rPr>
        <w:t xml:space="preserve"> 202</w:t>
      </w:r>
      <w:r w:rsidR="008C1F80">
        <w:rPr>
          <w:i w:val="0"/>
          <w:iCs w:val="0"/>
          <w:color w:val="00000A"/>
          <w:sz w:val="40"/>
          <w:szCs w:val="40"/>
          <w:lang w:val="en-GB"/>
        </w:rPr>
        <w:t>5</w:t>
      </w:r>
      <w:r>
        <w:rPr>
          <w:i w:val="0"/>
          <w:iCs w:val="0"/>
          <w:color w:val="00000A"/>
          <w:sz w:val="40"/>
          <w:szCs w:val="40"/>
          <w:lang w:val="en-GB"/>
        </w:rPr>
        <w:t xml:space="preserve"> – Atlantic Bluefin Tuna</w:t>
      </w:r>
    </w:p>
    <w:p w14:paraId="047E6412" w14:textId="77F4A6E9" w:rsidR="005042A3" w:rsidRDefault="005042A3" w:rsidP="00EA2A9C">
      <w:pPr>
        <w:pStyle w:val="BodyText"/>
        <w:ind w:left="113"/>
        <w:rPr>
          <w:b/>
          <w:sz w:val="20"/>
        </w:rPr>
      </w:pPr>
    </w:p>
    <w:tbl>
      <w:tblPr>
        <w:tblpPr w:leftFromText="180" w:rightFromText="180" w:vertAnchor="text" w:tblpY="1"/>
        <w:tblOverlap w:val="never"/>
        <w:tblW w:w="13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7"/>
        <w:gridCol w:w="11314"/>
      </w:tblGrid>
      <w:tr w:rsidR="005042A3" w14:paraId="0881F49A" w14:textId="77777777" w:rsidTr="002834ED">
        <w:trPr>
          <w:trHeight w:val="362"/>
        </w:trPr>
        <w:tc>
          <w:tcPr>
            <w:tcW w:w="2467" w:type="dxa"/>
          </w:tcPr>
          <w:p w14:paraId="7FD1B01F" w14:textId="77777777" w:rsidR="005042A3" w:rsidRDefault="00982504" w:rsidP="002834ED">
            <w:pPr>
              <w:pStyle w:val="TableParagraph"/>
              <w:spacing w:before="59"/>
              <w:ind w:left="107"/>
              <w:rPr>
                <w:sz w:val="20"/>
              </w:rPr>
            </w:pPr>
            <w:r>
              <w:rPr>
                <w:sz w:val="20"/>
              </w:rPr>
              <w:t>Sheet</w:t>
            </w:r>
            <w:r>
              <w:rPr>
                <w:spacing w:val="-8"/>
                <w:sz w:val="20"/>
              </w:rPr>
              <w:t xml:space="preserve"> </w:t>
            </w:r>
            <w:r>
              <w:rPr>
                <w:spacing w:val="-2"/>
                <w:sz w:val="20"/>
              </w:rPr>
              <w:t>reference</w:t>
            </w:r>
          </w:p>
        </w:tc>
        <w:tc>
          <w:tcPr>
            <w:tcW w:w="11314" w:type="dxa"/>
          </w:tcPr>
          <w:p w14:paraId="2A5E8E33" w14:textId="078239E1" w:rsidR="005042A3" w:rsidRDefault="00982504" w:rsidP="002834ED">
            <w:pPr>
              <w:pStyle w:val="TableParagraph"/>
              <w:spacing w:before="61"/>
              <w:ind w:left="110"/>
              <w:rPr>
                <w:sz w:val="20"/>
              </w:rPr>
            </w:pPr>
            <w:r>
              <w:rPr>
                <w:spacing w:val="-2"/>
                <w:sz w:val="20"/>
              </w:rPr>
              <w:t>BDC202</w:t>
            </w:r>
            <w:r w:rsidR="008C1F80">
              <w:rPr>
                <w:spacing w:val="-2"/>
                <w:sz w:val="20"/>
              </w:rPr>
              <w:t>5</w:t>
            </w:r>
            <w:r>
              <w:rPr>
                <w:spacing w:val="-2"/>
                <w:sz w:val="20"/>
              </w:rPr>
              <w:t>/</w:t>
            </w:r>
            <w:proofErr w:type="spellStart"/>
            <w:r>
              <w:rPr>
                <w:spacing w:val="-2"/>
                <w:sz w:val="20"/>
              </w:rPr>
              <w:t>Bluefin_tuna</w:t>
            </w:r>
            <w:proofErr w:type="spellEnd"/>
          </w:p>
        </w:tc>
      </w:tr>
      <w:tr w:rsidR="005042A3" w14:paraId="7916ECEE" w14:textId="77777777" w:rsidTr="002834ED">
        <w:trPr>
          <w:trHeight w:val="669"/>
        </w:trPr>
        <w:tc>
          <w:tcPr>
            <w:tcW w:w="2467" w:type="dxa"/>
          </w:tcPr>
          <w:p w14:paraId="7C9162A7" w14:textId="77777777" w:rsidR="005042A3" w:rsidRDefault="00982504" w:rsidP="002834ED">
            <w:pPr>
              <w:pStyle w:val="TableParagraph"/>
              <w:spacing w:before="215"/>
              <w:ind w:left="107"/>
              <w:rPr>
                <w:sz w:val="20"/>
              </w:rPr>
            </w:pPr>
            <w:r>
              <w:rPr>
                <w:sz w:val="20"/>
              </w:rPr>
              <w:t>Area</w:t>
            </w:r>
            <w:r>
              <w:rPr>
                <w:spacing w:val="-6"/>
                <w:sz w:val="20"/>
              </w:rPr>
              <w:t xml:space="preserve"> </w:t>
            </w:r>
            <w:r>
              <w:rPr>
                <w:spacing w:val="-2"/>
                <w:sz w:val="20"/>
              </w:rPr>
              <w:t>assessed</w:t>
            </w:r>
          </w:p>
        </w:tc>
        <w:tc>
          <w:tcPr>
            <w:tcW w:w="11314" w:type="dxa"/>
          </w:tcPr>
          <w:p w14:paraId="70828F09" w14:textId="3AF884CD" w:rsidR="005042A3" w:rsidRDefault="00982504" w:rsidP="002834ED">
            <w:pPr>
              <w:pStyle w:val="TableParagraph"/>
              <w:spacing w:before="63"/>
              <w:ind w:left="110"/>
              <w:rPr>
                <w:sz w:val="20"/>
              </w:rPr>
            </w:pPr>
            <w:r>
              <w:rPr>
                <w:sz w:val="20"/>
              </w:rPr>
              <w:t>OSPAR</w:t>
            </w:r>
            <w:r>
              <w:rPr>
                <w:spacing w:val="-5"/>
                <w:sz w:val="20"/>
              </w:rPr>
              <w:t xml:space="preserve"> </w:t>
            </w:r>
            <w:r>
              <w:rPr>
                <w:sz w:val="20"/>
              </w:rPr>
              <w:t>regions</w:t>
            </w:r>
            <w:r>
              <w:rPr>
                <w:spacing w:val="-4"/>
                <w:sz w:val="20"/>
              </w:rPr>
              <w:t xml:space="preserve"> </w:t>
            </w:r>
            <w:r>
              <w:rPr>
                <w:sz w:val="20"/>
              </w:rPr>
              <w:t>where</w:t>
            </w:r>
            <w:r>
              <w:rPr>
                <w:spacing w:val="-5"/>
                <w:sz w:val="20"/>
              </w:rPr>
              <w:t xml:space="preserve"> </w:t>
            </w:r>
            <w:r>
              <w:rPr>
                <w:sz w:val="20"/>
              </w:rPr>
              <w:t>species</w:t>
            </w:r>
            <w:r>
              <w:rPr>
                <w:spacing w:val="-4"/>
                <w:sz w:val="20"/>
              </w:rPr>
              <w:t xml:space="preserve"> </w:t>
            </w:r>
            <w:proofErr w:type="gramStart"/>
            <w:r>
              <w:rPr>
                <w:sz w:val="20"/>
              </w:rPr>
              <w:t>occurs:</w:t>
            </w:r>
            <w:proofErr w:type="gramEnd"/>
            <w:r>
              <w:rPr>
                <w:spacing w:val="-6"/>
                <w:sz w:val="20"/>
              </w:rPr>
              <w:t xml:space="preserve"> </w:t>
            </w:r>
            <w:r>
              <w:rPr>
                <w:sz w:val="20"/>
              </w:rPr>
              <w:t>I,</w:t>
            </w:r>
            <w:r>
              <w:rPr>
                <w:spacing w:val="-3"/>
                <w:sz w:val="20"/>
              </w:rPr>
              <w:t xml:space="preserve"> </w:t>
            </w:r>
            <w:r>
              <w:rPr>
                <w:sz w:val="20"/>
              </w:rPr>
              <w:t>II,</w:t>
            </w:r>
            <w:r>
              <w:rPr>
                <w:spacing w:val="-4"/>
                <w:sz w:val="20"/>
              </w:rPr>
              <w:t xml:space="preserve"> </w:t>
            </w:r>
            <w:r>
              <w:rPr>
                <w:sz w:val="20"/>
              </w:rPr>
              <w:t>III,</w:t>
            </w:r>
            <w:r>
              <w:rPr>
                <w:spacing w:val="-4"/>
                <w:sz w:val="20"/>
              </w:rPr>
              <w:t xml:space="preserve"> </w:t>
            </w:r>
            <w:r>
              <w:rPr>
                <w:sz w:val="20"/>
              </w:rPr>
              <w:t>IV,</w:t>
            </w:r>
            <w:r>
              <w:rPr>
                <w:spacing w:val="-4"/>
                <w:sz w:val="20"/>
              </w:rPr>
              <w:t xml:space="preserve"> </w:t>
            </w:r>
            <w:r>
              <w:rPr>
                <w:spacing w:val="-10"/>
                <w:sz w:val="20"/>
              </w:rPr>
              <w:t>V</w:t>
            </w:r>
          </w:p>
          <w:p w14:paraId="5BB63B89" w14:textId="77777777" w:rsidR="005042A3" w:rsidRDefault="00982504" w:rsidP="002834ED">
            <w:pPr>
              <w:pStyle w:val="TableParagraph"/>
              <w:spacing w:before="59"/>
              <w:ind w:left="110"/>
              <w:rPr>
                <w:sz w:val="20"/>
              </w:rPr>
            </w:pPr>
            <w:r>
              <w:rPr>
                <w:sz w:val="20"/>
              </w:rPr>
              <w:t>OSPAR</w:t>
            </w:r>
            <w:r>
              <w:rPr>
                <w:spacing w:val="-6"/>
                <w:sz w:val="20"/>
              </w:rPr>
              <w:t xml:space="preserve"> </w:t>
            </w:r>
            <w:r>
              <w:rPr>
                <w:sz w:val="20"/>
              </w:rPr>
              <w:t>regions</w:t>
            </w:r>
            <w:r>
              <w:rPr>
                <w:spacing w:val="-4"/>
                <w:sz w:val="20"/>
              </w:rPr>
              <w:t xml:space="preserve"> </w:t>
            </w:r>
            <w:r>
              <w:rPr>
                <w:sz w:val="20"/>
              </w:rPr>
              <w:t>where</w:t>
            </w:r>
            <w:r>
              <w:rPr>
                <w:spacing w:val="-6"/>
                <w:sz w:val="20"/>
              </w:rPr>
              <w:t xml:space="preserve"> </w:t>
            </w:r>
            <w:r>
              <w:rPr>
                <w:sz w:val="20"/>
              </w:rPr>
              <w:t>species</w:t>
            </w:r>
            <w:r>
              <w:rPr>
                <w:spacing w:val="-4"/>
                <w:sz w:val="20"/>
              </w:rPr>
              <w:t xml:space="preserve"> </w:t>
            </w:r>
            <w:proofErr w:type="gramStart"/>
            <w:r>
              <w:rPr>
                <w:sz w:val="20"/>
              </w:rPr>
              <w:t>is</w:t>
            </w:r>
            <w:proofErr w:type="gramEnd"/>
            <w:r>
              <w:rPr>
                <w:spacing w:val="-4"/>
                <w:sz w:val="20"/>
              </w:rPr>
              <w:t xml:space="preserve"> </w:t>
            </w:r>
            <w:r>
              <w:rPr>
                <w:sz w:val="20"/>
              </w:rPr>
              <w:t>under</w:t>
            </w:r>
            <w:r>
              <w:rPr>
                <w:spacing w:val="-5"/>
                <w:sz w:val="20"/>
              </w:rPr>
              <w:t xml:space="preserve"> </w:t>
            </w:r>
            <w:r>
              <w:rPr>
                <w:sz w:val="20"/>
              </w:rPr>
              <w:t>threat</w:t>
            </w:r>
            <w:r>
              <w:rPr>
                <w:spacing w:val="-5"/>
                <w:sz w:val="20"/>
              </w:rPr>
              <w:t xml:space="preserve"> </w:t>
            </w:r>
            <w:r>
              <w:rPr>
                <w:sz w:val="20"/>
              </w:rPr>
              <w:t>and/</w:t>
            </w:r>
            <w:r>
              <w:rPr>
                <w:spacing w:val="-5"/>
                <w:sz w:val="20"/>
              </w:rPr>
              <w:t xml:space="preserve"> </w:t>
            </w:r>
            <w:r>
              <w:rPr>
                <w:sz w:val="20"/>
              </w:rPr>
              <w:t>or</w:t>
            </w:r>
            <w:r>
              <w:rPr>
                <w:spacing w:val="-7"/>
                <w:sz w:val="20"/>
              </w:rPr>
              <w:t xml:space="preserve"> </w:t>
            </w:r>
            <w:r>
              <w:rPr>
                <w:sz w:val="20"/>
              </w:rPr>
              <w:t>decline:</w:t>
            </w:r>
            <w:r>
              <w:rPr>
                <w:spacing w:val="-6"/>
                <w:sz w:val="20"/>
              </w:rPr>
              <w:t xml:space="preserve"> </w:t>
            </w:r>
            <w:r>
              <w:rPr>
                <w:spacing w:val="-5"/>
                <w:sz w:val="20"/>
              </w:rPr>
              <w:t>n/a</w:t>
            </w:r>
          </w:p>
        </w:tc>
      </w:tr>
      <w:tr w:rsidR="005042A3" w14:paraId="25DB9B5F" w14:textId="77777777" w:rsidTr="002834ED">
        <w:trPr>
          <w:trHeight w:val="364"/>
        </w:trPr>
        <w:tc>
          <w:tcPr>
            <w:tcW w:w="2467" w:type="dxa"/>
          </w:tcPr>
          <w:p w14:paraId="7F8C5174" w14:textId="77777777" w:rsidR="005042A3" w:rsidRDefault="00982504" w:rsidP="002834ED">
            <w:pPr>
              <w:pStyle w:val="TableParagraph"/>
              <w:spacing w:before="61"/>
              <w:ind w:left="107"/>
              <w:rPr>
                <w:sz w:val="20"/>
              </w:rPr>
            </w:pPr>
            <w:r>
              <w:rPr>
                <w:spacing w:val="-2"/>
                <w:sz w:val="20"/>
              </w:rPr>
              <w:t>Title</w:t>
            </w:r>
          </w:p>
        </w:tc>
        <w:tc>
          <w:tcPr>
            <w:tcW w:w="11314" w:type="dxa"/>
          </w:tcPr>
          <w:p w14:paraId="451DDE07" w14:textId="6EA37599" w:rsidR="005042A3" w:rsidRDefault="00982504" w:rsidP="002834ED">
            <w:pPr>
              <w:pStyle w:val="TableParagraph"/>
              <w:spacing w:before="61"/>
              <w:ind w:left="110"/>
              <w:rPr>
                <w:sz w:val="20"/>
              </w:rPr>
            </w:pPr>
            <w:r>
              <w:rPr>
                <w:sz w:val="20"/>
              </w:rPr>
              <w:t>Atlantic</w:t>
            </w:r>
            <w:r>
              <w:rPr>
                <w:spacing w:val="-7"/>
                <w:sz w:val="20"/>
              </w:rPr>
              <w:t xml:space="preserve"> </w:t>
            </w:r>
            <w:r>
              <w:rPr>
                <w:sz w:val="20"/>
              </w:rPr>
              <w:t>bluefin</w:t>
            </w:r>
            <w:r>
              <w:rPr>
                <w:spacing w:val="-6"/>
                <w:sz w:val="20"/>
              </w:rPr>
              <w:t xml:space="preserve"> </w:t>
            </w:r>
            <w:r>
              <w:rPr>
                <w:sz w:val="20"/>
              </w:rPr>
              <w:t>tuna:</w:t>
            </w:r>
            <w:r>
              <w:rPr>
                <w:spacing w:val="-8"/>
                <w:sz w:val="20"/>
              </w:rPr>
              <w:t xml:space="preserve"> </w:t>
            </w:r>
            <w:r>
              <w:rPr>
                <w:sz w:val="20"/>
              </w:rPr>
              <w:t>202</w:t>
            </w:r>
            <w:r w:rsidR="008C1F80">
              <w:rPr>
                <w:sz w:val="20"/>
              </w:rPr>
              <w:t>5</w:t>
            </w:r>
            <w:r>
              <w:rPr>
                <w:spacing w:val="-7"/>
                <w:sz w:val="20"/>
              </w:rPr>
              <w:t xml:space="preserve"> </w:t>
            </w:r>
            <w:r>
              <w:rPr>
                <w:sz w:val="20"/>
              </w:rPr>
              <w:t>status</w:t>
            </w:r>
            <w:r>
              <w:rPr>
                <w:spacing w:val="-6"/>
                <w:sz w:val="20"/>
              </w:rPr>
              <w:t xml:space="preserve"> </w:t>
            </w:r>
            <w:r>
              <w:rPr>
                <w:spacing w:val="-2"/>
                <w:sz w:val="20"/>
              </w:rPr>
              <w:t>assessment</w:t>
            </w:r>
          </w:p>
        </w:tc>
      </w:tr>
      <w:tr w:rsidR="005042A3" w14:paraId="56A551C6" w14:textId="77777777" w:rsidTr="002834ED">
        <w:trPr>
          <w:trHeight w:val="2600"/>
        </w:trPr>
        <w:tc>
          <w:tcPr>
            <w:tcW w:w="2467" w:type="dxa"/>
          </w:tcPr>
          <w:p w14:paraId="6AB645E3" w14:textId="7AF05C1A" w:rsidR="005042A3" w:rsidRDefault="002834ED" w:rsidP="002834ED">
            <w:pPr>
              <w:pStyle w:val="TableParagraph"/>
              <w:spacing w:before="1"/>
              <w:rPr>
                <w:sz w:val="20"/>
              </w:rPr>
            </w:pPr>
            <w:r>
              <w:rPr>
                <w:sz w:val="20"/>
              </w:rPr>
              <w:t xml:space="preserve"> K</w:t>
            </w:r>
            <w:r w:rsidR="00982504">
              <w:rPr>
                <w:sz w:val="20"/>
              </w:rPr>
              <w:t>ey</w:t>
            </w:r>
            <w:r w:rsidR="00982504">
              <w:rPr>
                <w:spacing w:val="-4"/>
                <w:sz w:val="20"/>
              </w:rPr>
              <w:t xml:space="preserve"> </w:t>
            </w:r>
            <w:r w:rsidR="00982504">
              <w:rPr>
                <w:spacing w:val="-2"/>
                <w:sz w:val="20"/>
              </w:rPr>
              <w:t>message</w:t>
            </w:r>
          </w:p>
        </w:tc>
        <w:tc>
          <w:tcPr>
            <w:tcW w:w="11314" w:type="dxa"/>
          </w:tcPr>
          <w:p w14:paraId="30027B03" w14:textId="77777777" w:rsidR="005042A3" w:rsidRDefault="00982504" w:rsidP="002834ED">
            <w:pPr>
              <w:pStyle w:val="TableParagraph"/>
              <w:spacing w:before="1"/>
              <w:ind w:left="110" w:right="203"/>
              <w:rPr>
                <w:sz w:val="20"/>
              </w:rPr>
            </w:pPr>
            <w:r>
              <w:rPr>
                <w:sz w:val="20"/>
              </w:rPr>
              <w:t>Based on International Commission for the Conservation of Atlantic Tunas (ICCAT) assessments and scientific literature, Atlantic bluefin tuna (</w:t>
            </w:r>
            <w:r>
              <w:rPr>
                <w:i/>
                <w:sz w:val="20"/>
              </w:rPr>
              <w:t>Thunnus thynnus</w:t>
            </w:r>
            <w:r>
              <w:rPr>
                <w:sz w:val="20"/>
              </w:rPr>
              <w:t>) is in good status.</w:t>
            </w:r>
            <w:r>
              <w:rPr>
                <w:spacing w:val="-4"/>
                <w:sz w:val="20"/>
              </w:rPr>
              <w:t xml:space="preserve"> </w:t>
            </w:r>
            <w:r>
              <w:rPr>
                <w:sz w:val="20"/>
              </w:rPr>
              <w:t>Spawning</w:t>
            </w:r>
            <w:r>
              <w:rPr>
                <w:spacing w:val="-4"/>
                <w:sz w:val="20"/>
              </w:rPr>
              <w:t xml:space="preserve"> </w:t>
            </w:r>
            <w:r>
              <w:rPr>
                <w:sz w:val="20"/>
              </w:rPr>
              <w:t>stock</w:t>
            </w:r>
            <w:r>
              <w:rPr>
                <w:spacing w:val="-3"/>
                <w:sz w:val="20"/>
              </w:rPr>
              <w:t xml:space="preserve"> </w:t>
            </w:r>
            <w:r>
              <w:rPr>
                <w:sz w:val="20"/>
              </w:rPr>
              <w:t>biomass</w:t>
            </w:r>
            <w:r>
              <w:rPr>
                <w:spacing w:val="-3"/>
                <w:sz w:val="20"/>
              </w:rPr>
              <w:t xml:space="preserve"> </w:t>
            </w:r>
            <w:r>
              <w:rPr>
                <w:sz w:val="20"/>
              </w:rPr>
              <w:t>has</w:t>
            </w:r>
            <w:r>
              <w:rPr>
                <w:spacing w:val="-3"/>
                <w:sz w:val="20"/>
              </w:rPr>
              <w:t xml:space="preserve"> </w:t>
            </w:r>
            <w:r>
              <w:rPr>
                <w:sz w:val="20"/>
              </w:rPr>
              <w:t>increased</w:t>
            </w:r>
            <w:r>
              <w:rPr>
                <w:spacing w:val="-3"/>
                <w:sz w:val="20"/>
              </w:rPr>
              <w:t xml:space="preserve"> </w:t>
            </w:r>
            <w:r>
              <w:rPr>
                <w:sz w:val="20"/>
              </w:rPr>
              <w:t>substantially</w:t>
            </w:r>
            <w:r>
              <w:rPr>
                <w:spacing w:val="-4"/>
                <w:sz w:val="20"/>
              </w:rPr>
              <w:t xml:space="preserve"> </w:t>
            </w:r>
            <w:r>
              <w:rPr>
                <w:sz w:val="20"/>
              </w:rPr>
              <w:t>since</w:t>
            </w:r>
            <w:r>
              <w:rPr>
                <w:spacing w:val="-4"/>
                <w:sz w:val="20"/>
              </w:rPr>
              <w:t xml:space="preserve"> </w:t>
            </w:r>
            <w:r>
              <w:rPr>
                <w:sz w:val="20"/>
              </w:rPr>
              <w:t>the</w:t>
            </w:r>
            <w:r>
              <w:rPr>
                <w:spacing w:val="-4"/>
                <w:sz w:val="20"/>
              </w:rPr>
              <w:t xml:space="preserve"> </w:t>
            </w:r>
            <w:r>
              <w:rPr>
                <w:sz w:val="20"/>
              </w:rPr>
              <w:t>2003</w:t>
            </w:r>
            <w:r>
              <w:rPr>
                <w:spacing w:val="-4"/>
                <w:sz w:val="20"/>
              </w:rPr>
              <w:t xml:space="preserve"> </w:t>
            </w:r>
            <w:r>
              <w:rPr>
                <w:sz w:val="20"/>
              </w:rPr>
              <w:t>OSPAR</w:t>
            </w:r>
            <w:r>
              <w:rPr>
                <w:spacing w:val="-4"/>
                <w:sz w:val="20"/>
              </w:rPr>
              <w:t xml:space="preserve"> </w:t>
            </w:r>
            <w:r>
              <w:rPr>
                <w:sz w:val="20"/>
              </w:rPr>
              <w:t>listing</w:t>
            </w:r>
            <w:r>
              <w:rPr>
                <w:spacing w:val="-4"/>
                <w:sz w:val="20"/>
              </w:rPr>
              <w:t xml:space="preserve"> </w:t>
            </w:r>
            <w:r>
              <w:rPr>
                <w:sz w:val="20"/>
              </w:rPr>
              <w:t>and is now at the highest levels since the 1960s. Spatial distribution has expanded. There are effective management measures in place and there is no overfishing.</w:t>
            </w:r>
          </w:p>
          <w:tbl>
            <w:tblPr>
              <w:tblW w:w="10130" w:type="dxa"/>
              <w:tblLook w:val="04A0" w:firstRow="1" w:lastRow="0" w:firstColumn="1" w:lastColumn="0" w:noHBand="0" w:noVBand="1"/>
            </w:tblPr>
            <w:tblGrid>
              <w:gridCol w:w="1420"/>
              <w:gridCol w:w="1420"/>
              <w:gridCol w:w="1420"/>
              <w:gridCol w:w="1420"/>
              <w:gridCol w:w="1420"/>
              <w:gridCol w:w="1420"/>
              <w:gridCol w:w="1610"/>
            </w:tblGrid>
            <w:tr w:rsidR="002834ED" w:rsidRPr="002834ED" w14:paraId="369F7152" w14:textId="77777777" w:rsidTr="002834ED">
              <w:trPr>
                <w:trHeight w:val="915"/>
              </w:trPr>
              <w:tc>
                <w:tcPr>
                  <w:tcW w:w="2840" w:type="dxa"/>
                  <w:gridSpan w:val="2"/>
                  <w:tcBorders>
                    <w:top w:val="single" w:sz="8" w:space="0" w:color="auto"/>
                    <w:left w:val="single" w:sz="8" w:space="0" w:color="auto"/>
                    <w:bottom w:val="single" w:sz="8" w:space="0" w:color="auto"/>
                    <w:right w:val="single" w:sz="8" w:space="0" w:color="000000"/>
                  </w:tcBorders>
                  <w:vAlign w:val="center"/>
                  <w:hideMark/>
                </w:tcPr>
                <w:p w14:paraId="414F194C"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Assessment of status</w:t>
                  </w:r>
                </w:p>
              </w:tc>
              <w:tc>
                <w:tcPr>
                  <w:tcW w:w="1420" w:type="dxa"/>
                  <w:tcBorders>
                    <w:top w:val="single" w:sz="8" w:space="0" w:color="auto"/>
                    <w:left w:val="nil"/>
                    <w:bottom w:val="single" w:sz="8" w:space="0" w:color="auto"/>
                    <w:right w:val="single" w:sz="8" w:space="0" w:color="auto"/>
                  </w:tcBorders>
                  <w:vAlign w:val="center"/>
                  <w:hideMark/>
                </w:tcPr>
                <w:p w14:paraId="128A60FD"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Distribution</w:t>
                  </w:r>
                </w:p>
              </w:tc>
              <w:tc>
                <w:tcPr>
                  <w:tcW w:w="1420" w:type="dxa"/>
                  <w:tcBorders>
                    <w:top w:val="single" w:sz="8" w:space="0" w:color="auto"/>
                    <w:left w:val="nil"/>
                    <w:bottom w:val="single" w:sz="8" w:space="0" w:color="auto"/>
                    <w:right w:val="single" w:sz="8" w:space="0" w:color="auto"/>
                  </w:tcBorders>
                  <w:vAlign w:val="center"/>
                  <w:hideMark/>
                </w:tcPr>
                <w:p w14:paraId="61B77E5C"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Population size</w:t>
                  </w:r>
                </w:p>
              </w:tc>
              <w:tc>
                <w:tcPr>
                  <w:tcW w:w="1420" w:type="dxa"/>
                  <w:tcBorders>
                    <w:top w:val="single" w:sz="8" w:space="0" w:color="auto"/>
                    <w:left w:val="nil"/>
                    <w:bottom w:val="single" w:sz="8" w:space="0" w:color="auto"/>
                    <w:right w:val="single" w:sz="8" w:space="0" w:color="auto"/>
                  </w:tcBorders>
                  <w:vAlign w:val="center"/>
                  <w:hideMark/>
                </w:tcPr>
                <w:p w14:paraId="57776EF4"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Demographics</w:t>
                  </w:r>
                </w:p>
              </w:tc>
              <w:tc>
                <w:tcPr>
                  <w:tcW w:w="1420" w:type="dxa"/>
                  <w:tcBorders>
                    <w:top w:val="single" w:sz="8" w:space="0" w:color="auto"/>
                    <w:left w:val="nil"/>
                    <w:bottom w:val="single" w:sz="8" w:space="0" w:color="auto"/>
                    <w:right w:val="single" w:sz="8" w:space="0" w:color="auto"/>
                  </w:tcBorders>
                  <w:vAlign w:val="center"/>
                  <w:hideMark/>
                </w:tcPr>
                <w:p w14:paraId="1BE8772F"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Previous OSPAR status assessment</w:t>
                  </w:r>
                </w:p>
              </w:tc>
              <w:tc>
                <w:tcPr>
                  <w:tcW w:w="1610" w:type="dxa"/>
                  <w:tcBorders>
                    <w:top w:val="single" w:sz="8" w:space="0" w:color="auto"/>
                    <w:left w:val="nil"/>
                    <w:bottom w:val="single" w:sz="8" w:space="0" w:color="auto"/>
                    <w:right w:val="single" w:sz="8" w:space="0" w:color="auto"/>
                  </w:tcBorders>
                  <w:vAlign w:val="center"/>
                  <w:hideMark/>
                </w:tcPr>
                <w:p w14:paraId="4031192C"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Status (overall assessment)</w:t>
                  </w:r>
                </w:p>
              </w:tc>
            </w:tr>
            <w:tr w:rsidR="002834ED" w:rsidRPr="002834ED" w14:paraId="7E55F725" w14:textId="77777777" w:rsidTr="002834ED">
              <w:trPr>
                <w:trHeight w:val="315"/>
              </w:trPr>
              <w:tc>
                <w:tcPr>
                  <w:tcW w:w="1420" w:type="dxa"/>
                  <w:vMerge w:val="restart"/>
                  <w:tcBorders>
                    <w:top w:val="nil"/>
                    <w:left w:val="single" w:sz="8" w:space="0" w:color="auto"/>
                    <w:bottom w:val="single" w:sz="8" w:space="0" w:color="000000"/>
                    <w:right w:val="single" w:sz="8" w:space="0" w:color="auto"/>
                  </w:tcBorders>
                  <w:vAlign w:val="center"/>
                  <w:hideMark/>
                </w:tcPr>
                <w:p w14:paraId="1DCB2371"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Region</w:t>
                  </w:r>
                </w:p>
              </w:tc>
              <w:tc>
                <w:tcPr>
                  <w:tcW w:w="1420" w:type="dxa"/>
                  <w:tcBorders>
                    <w:top w:val="nil"/>
                    <w:left w:val="nil"/>
                    <w:bottom w:val="single" w:sz="8" w:space="0" w:color="auto"/>
                    <w:right w:val="single" w:sz="8" w:space="0" w:color="auto"/>
                  </w:tcBorders>
                  <w:vAlign w:val="center"/>
                  <w:hideMark/>
                </w:tcPr>
                <w:p w14:paraId="151B78ED"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w:t>
                  </w:r>
                </w:p>
              </w:tc>
              <w:tc>
                <w:tcPr>
                  <w:tcW w:w="1420" w:type="dxa"/>
                  <w:tcBorders>
                    <w:top w:val="nil"/>
                    <w:left w:val="nil"/>
                    <w:bottom w:val="single" w:sz="8" w:space="0" w:color="auto"/>
                    <w:right w:val="single" w:sz="8" w:space="0" w:color="auto"/>
                  </w:tcBorders>
                  <w:vAlign w:val="center"/>
                  <w:hideMark/>
                </w:tcPr>
                <w:p w14:paraId="59FACB87"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055ED310"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21D3B833"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524E3685"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610" w:type="dxa"/>
                  <w:tcBorders>
                    <w:top w:val="nil"/>
                    <w:left w:val="nil"/>
                    <w:bottom w:val="single" w:sz="8" w:space="0" w:color="auto"/>
                    <w:right w:val="single" w:sz="8" w:space="0" w:color="auto"/>
                  </w:tcBorders>
                  <w:vAlign w:val="center"/>
                  <w:hideMark/>
                </w:tcPr>
                <w:p w14:paraId="1D8E7CC9"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r>
            <w:tr w:rsidR="002834ED" w:rsidRPr="002834ED" w14:paraId="5EB23E23"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42F73543"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20C317B2"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II</w:t>
                  </w:r>
                </w:p>
              </w:tc>
              <w:tc>
                <w:tcPr>
                  <w:tcW w:w="1420" w:type="dxa"/>
                  <w:tcBorders>
                    <w:top w:val="nil"/>
                    <w:left w:val="nil"/>
                    <w:bottom w:val="single" w:sz="8" w:space="0" w:color="auto"/>
                    <w:right w:val="single" w:sz="8" w:space="0" w:color="auto"/>
                  </w:tcBorders>
                  <w:vAlign w:val="center"/>
                  <w:hideMark/>
                </w:tcPr>
                <w:p w14:paraId="7770BEA9"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3B4F3FAC"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6A4A8113"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47469CB4"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610" w:type="dxa"/>
                  <w:tcBorders>
                    <w:top w:val="nil"/>
                    <w:left w:val="nil"/>
                    <w:bottom w:val="single" w:sz="8" w:space="0" w:color="auto"/>
                    <w:right w:val="single" w:sz="8" w:space="0" w:color="auto"/>
                  </w:tcBorders>
                  <w:vAlign w:val="center"/>
                  <w:hideMark/>
                </w:tcPr>
                <w:p w14:paraId="7AF68752"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r>
            <w:tr w:rsidR="002834ED" w:rsidRPr="002834ED" w14:paraId="62749F7C"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7706AD89"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563C6564"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III</w:t>
                  </w:r>
                </w:p>
              </w:tc>
              <w:tc>
                <w:tcPr>
                  <w:tcW w:w="1420" w:type="dxa"/>
                  <w:tcBorders>
                    <w:top w:val="nil"/>
                    <w:left w:val="nil"/>
                    <w:bottom w:val="single" w:sz="8" w:space="0" w:color="auto"/>
                    <w:right w:val="single" w:sz="8" w:space="0" w:color="auto"/>
                  </w:tcBorders>
                  <w:vAlign w:val="center"/>
                  <w:hideMark/>
                </w:tcPr>
                <w:p w14:paraId="660A9AA6"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3FDBACAB"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697BF835"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53EDEC29"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val="en-GB" w:eastAsia="en-GB"/>
                    </w:rPr>
                    <w:t> </w:t>
                  </w:r>
                </w:p>
              </w:tc>
              <w:tc>
                <w:tcPr>
                  <w:tcW w:w="1610" w:type="dxa"/>
                  <w:tcBorders>
                    <w:top w:val="nil"/>
                    <w:left w:val="nil"/>
                    <w:bottom w:val="single" w:sz="8" w:space="0" w:color="auto"/>
                    <w:right w:val="single" w:sz="8" w:space="0" w:color="auto"/>
                  </w:tcBorders>
                  <w:vAlign w:val="center"/>
                  <w:hideMark/>
                </w:tcPr>
                <w:p w14:paraId="6989B1BD"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r>
            <w:tr w:rsidR="002834ED" w:rsidRPr="002834ED" w14:paraId="122953B9"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2F17539B"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2CEF28F1"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IV</w:t>
                  </w:r>
                </w:p>
              </w:tc>
              <w:tc>
                <w:tcPr>
                  <w:tcW w:w="1420" w:type="dxa"/>
                  <w:tcBorders>
                    <w:top w:val="nil"/>
                    <w:left w:val="nil"/>
                    <w:bottom w:val="single" w:sz="8" w:space="0" w:color="auto"/>
                    <w:right w:val="single" w:sz="8" w:space="0" w:color="auto"/>
                  </w:tcBorders>
                  <w:vAlign w:val="center"/>
                  <w:hideMark/>
                </w:tcPr>
                <w:p w14:paraId="6E0271E6"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6ED88847"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03F0F239"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4D8933DF"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c>
                <w:tcPr>
                  <w:tcW w:w="1610" w:type="dxa"/>
                  <w:tcBorders>
                    <w:top w:val="nil"/>
                    <w:left w:val="nil"/>
                    <w:bottom w:val="single" w:sz="8" w:space="0" w:color="auto"/>
                    <w:right w:val="single" w:sz="8" w:space="0" w:color="auto"/>
                  </w:tcBorders>
                  <w:vAlign w:val="center"/>
                  <w:hideMark/>
                </w:tcPr>
                <w:p w14:paraId="2397D093"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r>
            <w:tr w:rsidR="002834ED" w:rsidRPr="002834ED" w14:paraId="333BA039"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567D9C26"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2BDC43A2"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V</w:t>
                  </w:r>
                </w:p>
              </w:tc>
              <w:tc>
                <w:tcPr>
                  <w:tcW w:w="1420" w:type="dxa"/>
                  <w:tcBorders>
                    <w:top w:val="nil"/>
                    <w:left w:val="nil"/>
                    <w:bottom w:val="single" w:sz="8" w:space="0" w:color="auto"/>
                    <w:right w:val="single" w:sz="8" w:space="0" w:color="auto"/>
                  </w:tcBorders>
                  <w:vAlign w:val="center"/>
                  <w:hideMark/>
                </w:tcPr>
                <w:p w14:paraId="3C1B71EC"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eastAsia="en-GB"/>
                    </w:rPr>
                    <w:t>↑4,5</w:t>
                  </w:r>
                </w:p>
              </w:tc>
              <w:tc>
                <w:tcPr>
                  <w:tcW w:w="1420" w:type="dxa"/>
                  <w:tcBorders>
                    <w:top w:val="nil"/>
                    <w:left w:val="nil"/>
                    <w:bottom w:val="single" w:sz="8" w:space="0" w:color="auto"/>
                    <w:right w:val="single" w:sz="8" w:space="0" w:color="auto"/>
                  </w:tcBorders>
                  <w:vAlign w:val="center"/>
                  <w:hideMark/>
                </w:tcPr>
                <w:p w14:paraId="03EE3CEF"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eastAsia="en-GB"/>
                    </w:rPr>
                    <w:t>↑4,5</w:t>
                  </w:r>
                </w:p>
              </w:tc>
              <w:tc>
                <w:tcPr>
                  <w:tcW w:w="1420" w:type="dxa"/>
                  <w:tcBorders>
                    <w:top w:val="nil"/>
                    <w:left w:val="nil"/>
                    <w:bottom w:val="single" w:sz="8" w:space="0" w:color="auto"/>
                    <w:right w:val="single" w:sz="8" w:space="0" w:color="auto"/>
                  </w:tcBorders>
                  <w:vAlign w:val="center"/>
                  <w:hideMark/>
                </w:tcPr>
                <w:p w14:paraId="65A45A43"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eastAsia="en-GB"/>
                    </w:rPr>
                    <w:t>↑4,5</w:t>
                  </w:r>
                </w:p>
              </w:tc>
              <w:tc>
                <w:tcPr>
                  <w:tcW w:w="1420" w:type="dxa"/>
                  <w:tcBorders>
                    <w:top w:val="nil"/>
                    <w:left w:val="nil"/>
                    <w:bottom w:val="single" w:sz="8" w:space="0" w:color="auto"/>
                    <w:right w:val="single" w:sz="8" w:space="0" w:color="auto"/>
                  </w:tcBorders>
                  <w:vAlign w:val="center"/>
                  <w:hideMark/>
                </w:tcPr>
                <w:p w14:paraId="6D27BA71" w14:textId="77777777" w:rsidR="002834ED" w:rsidRPr="002834ED" w:rsidRDefault="002834ED" w:rsidP="009900A0">
                  <w:pPr>
                    <w:framePr w:hSpace="180" w:wrap="around" w:vAnchor="text" w:hAnchor="text" w:y="1"/>
                    <w:widowControl/>
                    <w:autoSpaceDE/>
                    <w:autoSpaceDN/>
                    <w:suppressOverlap/>
                    <w:rPr>
                      <w:rFonts w:eastAsia="Times New Roman"/>
                      <w:color w:val="00000A"/>
                      <w:lang w:val="en-GB" w:eastAsia="en-GB"/>
                    </w:rPr>
                  </w:pPr>
                  <w:r w:rsidRPr="002834ED">
                    <w:rPr>
                      <w:rFonts w:eastAsia="Times New Roman"/>
                      <w:color w:val="00000A"/>
                      <w:lang w:eastAsia="en-GB"/>
                    </w:rPr>
                    <w:t>●</w:t>
                  </w:r>
                </w:p>
              </w:tc>
              <w:tc>
                <w:tcPr>
                  <w:tcW w:w="1610" w:type="dxa"/>
                  <w:tcBorders>
                    <w:top w:val="nil"/>
                    <w:left w:val="nil"/>
                    <w:bottom w:val="single" w:sz="8" w:space="0" w:color="auto"/>
                    <w:right w:val="single" w:sz="8" w:space="0" w:color="auto"/>
                  </w:tcBorders>
                  <w:shd w:val="clear" w:color="000000" w:fill="4EA72E"/>
                  <w:vAlign w:val="center"/>
                  <w:hideMark/>
                </w:tcPr>
                <w:p w14:paraId="282875CA"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eastAsia="en-GB"/>
                    </w:rPr>
                    <w:t>Good ↑</w:t>
                  </w:r>
                </w:p>
              </w:tc>
            </w:tr>
          </w:tbl>
          <w:p w14:paraId="328D7C77" w14:textId="77777777" w:rsidR="002834ED" w:rsidRDefault="002834ED" w:rsidP="002834ED">
            <w:pPr>
              <w:pStyle w:val="TableParagraph"/>
              <w:spacing w:before="1"/>
              <w:ind w:left="110" w:right="203"/>
              <w:rPr>
                <w:sz w:val="20"/>
              </w:rPr>
            </w:pPr>
          </w:p>
          <w:p w14:paraId="5FC47C1A" w14:textId="77777777" w:rsidR="002834ED" w:rsidRPr="00E40B25" w:rsidRDefault="002834ED" w:rsidP="002834ED">
            <w:pPr>
              <w:tabs>
                <w:tab w:val="left" w:pos="2580"/>
              </w:tabs>
            </w:pPr>
            <w:r w:rsidRPr="00E40B25">
              <w:t xml:space="preserve">Explanation to table: </w:t>
            </w:r>
          </w:p>
          <w:p w14:paraId="0FD9D21B" w14:textId="77777777" w:rsidR="002834ED" w:rsidRPr="00E40B25" w:rsidRDefault="002834ED" w:rsidP="002834ED">
            <w:pPr>
              <w:spacing w:before="120" w:line="338" w:lineRule="auto"/>
              <w:ind w:right="211"/>
              <w:rPr>
                <w:b/>
                <w:u w:val="single"/>
              </w:rPr>
            </w:pPr>
            <w:r w:rsidRPr="00E40B25">
              <w:rPr>
                <w:b/>
                <w:u w:val="single"/>
              </w:rPr>
              <w:t>Distribution, Population size, Condition</w:t>
            </w:r>
          </w:p>
          <w:p w14:paraId="325E156D" w14:textId="77777777" w:rsidR="002834ED" w:rsidRPr="00E40B25" w:rsidRDefault="002834ED" w:rsidP="002834ED">
            <w:r w:rsidRPr="00E40B25">
              <w:rPr>
                <w:b/>
              </w:rPr>
              <w:t>Trends</w:t>
            </w:r>
            <w:r w:rsidRPr="00E40B25">
              <w:t xml:space="preserve"> in status (since the assessment in the background document)</w:t>
            </w:r>
          </w:p>
          <w:p w14:paraId="5E68B23D" w14:textId="77777777" w:rsidR="002834ED" w:rsidRPr="00E40B25" w:rsidRDefault="002834ED" w:rsidP="002834ED">
            <w:r w:rsidRPr="00E40B25">
              <w:rPr>
                <w:b/>
              </w:rPr>
              <w:t xml:space="preserve">↓ </w:t>
            </w:r>
            <w:r w:rsidRPr="00E40B25">
              <w:rPr>
                <w:b/>
              </w:rPr>
              <w:tab/>
            </w:r>
            <w:r w:rsidRPr="00E40B25">
              <w:t xml:space="preserve">decreasing trend or deterioration of the criterion assessed </w:t>
            </w:r>
          </w:p>
          <w:p w14:paraId="718ABE7A" w14:textId="77777777" w:rsidR="002834ED" w:rsidRPr="00E40B25" w:rsidRDefault="002834ED" w:rsidP="002834ED">
            <w:pPr>
              <w:rPr>
                <w:b/>
              </w:rPr>
            </w:pPr>
            <w:proofErr w:type="gramStart"/>
            <w:r w:rsidRPr="00E40B25">
              <w:rPr>
                <w:b/>
              </w:rPr>
              <w:t>↑</w:t>
            </w:r>
            <w:r w:rsidRPr="00E40B25">
              <w:t xml:space="preserve"> </w:t>
            </w:r>
            <w:r w:rsidRPr="00E40B25">
              <w:rPr>
                <w:b/>
              </w:rPr>
              <w:tab/>
            </w:r>
            <w:r w:rsidRPr="00E40B25">
              <w:t>increasing trend</w:t>
            </w:r>
            <w:proofErr w:type="gramEnd"/>
            <w:r w:rsidRPr="00E40B25">
              <w:t xml:space="preserve"> or improvement in the criterion assessed</w:t>
            </w:r>
          </w:p>
          <w:p w14:paraId="72BA32DF" w14:textId="77777777" w:rsidR="002834ED" w:rsidRPr="00E40B25" w:rsidRDefault="002834ED" w:rsidP="002834ED">
            <w:r w:rsidRPr="00E40B25">
              <w:rPr>
                <w:b/>
              </w:rPr>
              <w:t xml:space="preserve">←→ </w:t>
            </w:r>
            <w:r w:rsidRPr="00E40B25">
              <w:rPr>
                <w:b/>
              </w:rPr>
              <w:tab/>
            </w:r>
            <w:r w:rsidRPr="00E40B25">
              <w:t xml:space="preserve">no change observed in the criterion assessed </w:t>
            </w:r>
          </w:p>
          <w:p w14:paraId="6C3E8C38" w14:textId="77777777" w:rsidR="002834ED" w:rsidRPr="00E40B25" w:rsidRDefault="002834ED" w:rsidP="002834ED">
            <w:r w:rsidRPr="00E40B25">
              <w:rPr>
                <w:b/>
              </w:rPr>
              <w:t>?</w:t>
            </w:r>
            <w:r w:rsidRPr="00E40B25">
              <w:rPr>
                <w:i/>
              </w:rPr>
              <w:t xml:space="preserve">  trend unknown in the criterion assessed</w:t>
            </w:r>
          </w:p>
          <w:p w14:paraId="3696403F" w14:textId="77777777" w:rsidR="002834ED" w:rsidRPr="00E40B25" w:rsidRDefault="002834ED" w:rsidP="002834ED">
            <w:pPr>
              <w:spacing w:after="160" w:line="259" w:lineRule="auto"/>
              <w:rPr>
                <w:b/>
              </w:rPr>
            </w:pPr>
            <w:r w:rsidRPr="00E40B25">
              <w:rPr>
                <w:b/>
              </w:rPr>
              <w:t>Previous</w:t>
            </w:r>
            <w:r w:rsidRPr="00E40B25">
              <w:rPr>
                <w:sz w:val="32"/>
                <w:szCs w:val="32"/>
              </w:rPr>
              <w:t xml:space="preserve"> </w:t>
            </w:r>
            <w:r w:rsidRPr="00E40B25">
              <w:rPr>
                <w:b/>
              </w:rPr>
              <w:t xml:space="preserve">status assessment: </w:t>
            </w:r>
            <w:r w:rsidRPr="00E40B25">
              <w:t>if QSR 2010 then ent</w:t>
            </w:r>
            <w:r>
              <w:t>er</w:t>
            </w:r>
            <w:r w:rsidRPr="00E40B25">
              <w:rPr>
                <w:b/>
              </w:rPr>
              <w:t xml:space="preserve"> </w:t>
            </w:r>
            <w:r w:rsidRPr="00E40B25">
              <w:t xml:space="preserve">Regions where species occurs (○) and has been </w:t>
            </w:r>
            <w:proofErr w:type="spellStart"/>
            <w:r w:rsidRPr="00E40B25">
              <w:t>recognised</w:t>
            </w:r>
            <w:proofErr w:type="spellEnd"/>
            <w:r w:rsidRPr="00E40B25">
              <w:t xml:space="preserve"> by OSPAR to be threatened and/or declining (●) based on Chapter 10 </w:t>
            </w:r>
            <w:hyperlink r:id="rId7">
              <w:r w:rsidRPr="00E40B25">
                <w:rPr>
                  <w:color w:val="0000FF"/>
                  <w:u w:val="single"/>
                </w:rPr>
                <w:t>Table 10.1</w:t>
              </w:r>
            </w:hyperlink>
            <w:r w:rsidRPr="00E40B25">
              <w:t xml:space="preserve"> and </w:t>
            </w:r>
            <w:hyperlink r:id="rId8">
              <w:r w:rsidRPr="00E40B25">
                <w:rPr>
                  <w:color w:val="0000FF"/>
                  <w:u w:val="single"/>
                </w:rPr>
                <w:t>Table 10.2</w:t>
              </w:r>
            </w:hyperlink>
            <w:r w:rsidRPr="00E40B25">
              <w:t xml:space="preserve">. If a more recent status assessment is </w:t>
            </w:r>
            <w:r w:rsidRPr="00E40B25">
              <w:lastRenderedPageBreak/>
              <w:t>available, then enter ‘poor</w:t>
            </w:r>
            <w:proofErr w:type="gramStart"/>
            <w:r w:rsidRPr="00E40B25">
              <w:t>’/’</w:t>
            </w:r>
            <w:proofErr w:type="gramEnd"/>
            <w:r w:rsidRPr="00E40B25">
              <w:t>good’</w:t>
            </w:r>
          </w:p>
          <w:p w14:paraId="3D2B8D20" w14:textId="77777777" w:rsidR="002834ED" w:rsidRPr="00E40B25" w:rsidRDefault="002834ED" w:rsidP="002834ED">
            <w:pPr>
              <w:rPr>
                <w:b/>
                <w:u w:val="single"/>
              </w:rPr>
            </w:pPr>
            <w:r w:rsidRPr="00E40B25">
              <w:rPr>
                <w:b/>
                <w:u w:val="single"/>
              </w:rPr>
              <w:t>Status*</w:t>
            </w:r>
            <w:r w:rsidRPr="00E40B25">
              <w:rPr>
                <w:sz w:val="18"/>
                <w:szCs w:val="18"/>
              </w:rPr>
              <w:t>(overall assessment)</w:t>
            </w:r>
          </w:p>
          <w:p w14:paraId="4AD1CF1A" w14:textId="77777777" w:rsidR="002834ED" w:rsidRPr="00E40B25" w:rsidRDefault="002834ED" w:rsidP="002834ED">
            <w:r w:rsidRPr="00E40B25">
              <w:rPr>
                <w:highlight w:val="red"/>
              </w:rPr>
              <w:t>red</w:t>
            </w:r>
            <w:r w:rsidRPr="00E40B25">
              <w:t xml:space="preserve"> – poor </w:t>
            </w:r>
          </w:p>
          <w:p w14:paraId="6E030769" w14:textId="77777777" w:rsidR="002834ED" w:rsidRPr="00E40B25" w:rsidRDefault="002834ED" w:rsidP="002834ED">
            <w:r w:rsidRPr="00E40B25">
              <w:rPr>
                <w:highlight w:val="green"/>
              </w:rPr>
              <w:t>green</w:t>
            </w:r>
            <w:r w:rsidRPr="00E40B25">
              <w:t xml:space="preserve"> – good</w:t>
            </w:r>
          </w:p>
          <w:p w14:paraId="0E0C525C" w14:textId="2EC70B6D" w:rsidR="002834ED" w:rsidRPr="00E40B25" w:rsidRDefault="002834ED" w:rsidP="002834ED">
            <w:pPr>
              <w:spacing w:after="160" w:line="259" w:lineRule="auto"/>
              <w:rPr>
                <w:i/>
              </w:rPr>
            </w:pPr>
            <w:r w:rsidRPr="00E40B25">
              <w:rPr>
                <w:b/>
              </w:rPr>
              <w:t>?</w:t>
            </w:r>
            <w:r w:rsidRPr="00E40B25">
              <w:rPr>
                <w:i/>
              </w:rPr>
              <w:t xml:space="preserve"> -  status unknown. </w:t>
            </w:r>
            <w:r w:rsidR="00345EAF">
              <w:rPr>
                <w:i/>
              </w:rPr>
              <w:br/>
            </w:r>
            <w:r w:rsidRPr="00E40B25">
              <w:rPr>
                <w:b/>
              </w:rPr>
              <w:t>NA</w:t>
            </w:r>
            <w:r w:rsidRPr="00E40B25">
              <w:rPr>
                <w:i/>
              </w:rPr>
              <w:t xml:space="preserve"> - Not Applicable </w:t>
            </w:r>
          </w:p>
          <w:p w14:paraId="09C05836" w14:textId="77777777" w:rsidR="002834ED" w:rsidRPr="00E40B25" w:rsidRDefault="002834ED" w:rsidP="002834ED">
            <w:pPr>
              <w:rPr>
                <w:u w:val="single"/>
              </w:rPr>
            </w:pPr>
            <w:r w:rsidRPr="00E40B25">
              <w:t>*</w:t>
            </w:r>
            <w:proofErr w:type="gramStart"/>
            <w:r w:rsidRPr="00E40B25">
              <w:t>applied</w:t>
            </w:r>
            <w:proofErr w:type="gramEnd"/>
            <w:r w:rsidRPr="00E40B25">
              <w:t xml:space="preserve"> to assessments of </w:t>
            </w:r>
            <w:r w:rsidRPr="00E40B25">
              <w:rPr>
                <w:u w:val="single"/>
              </w:rPr>
              <w:t>status of the feature or of a criterion, as defined by the assessment values used in the QSR 2023 or by expert judgement.</w:t>
            </w:r>
          </w:p>
          <w:p w14:paraId="3304B95A" w14:textId="77777777" w:rsidR="002834ED" w:rsidRPr="00E40B25" w:rsidRDefault="002834ED" w:rsidP="002834ED">
            <w:pPr>
              <w:rPr>
                <w:b/>
                <w:u w:val="single"/>
              </w:rPr>
            </w:pPr>
            <w:r w:rsidRPr="00E40B25">
              <w:rPr>
                <w:b/>
                <w:u w:val="single"/>
              </w:rPr>
              <w:t>Types of assessment:</w:t>
            </w:r>
          </w:p>
          <w:p w14:paraId="57479234" w14:textId="77777777" w:rsidR="002834ED" w:rsidRPr="00E40B25" w:rsidRDefault="002834ED" w:rsidP="002834ED">
            <w:r w:rsidRPr="00E40B25">
              <w:t xml:space="preserve">1 – direct data driven, </w:t>
            </w:r>
          </w:p>
          <w:p w14:paraId="6FC0ACEE" w14:textId="77777777" w:rsidR="002834ED" w:rsidRPr="00E40B25" w:rsidRDefault="002834ED" w:rsidP="002834ED">
            <w:r w:rsidRPr="00E40B25">
              <w:t xml:space="preserve">2 – indirect data driven, </w:t>
            </w:r>
          </w:p>
          <w:p w14:paraId="4DB710B5" w14:textId="77777777" w:rsidR="002834ED" w:rsidRPr="00E40B25" w:rsidRDefault="002834ED" w:rsidP="002834ED">
            <w:r w:rsidRPr="00E40B25">
              <w:t xml:space="preserve">3 – third party assessment close-geographic match, </w:t>
            </w:r>
          </w:p>
          <w:p w14:paraId="0308DF7A" w14:textId="77777777" w:rsidR="002834ED" w:rsidRPr="00E40B25" w:rsidRDefault="002834ED" w:rsidP="002834ED">
            <w:r w:rsidRPr="00E40B25">
              <w:t xml:space="preserve">4 – third party assessment partial-geographic match  </w:t>
            </w:r>
          </w:p>
          <w:p w14:paraId="5CDD841E" w14:textId="0671F822" w:rsidR="002834ED" w:rsidRDefault="002834ED" w:rsidP="002834ED">
            <w:pPr>
              <w:pStyle w:val="TableParagraph"/>
              <w:spacing w:before="1"/>
              <w:ind w:right="203"/>
              <w:rPr>
                <w:sz w:val="20"/>
              </w:rPr>
            </w:pPr>
            <w:r w:rsidRPr="00E40B25">
              <w:t>5 – expert judgement.</w:t>
            </w:r>
          </w:p>
          <w:p w14:paraId="77229B15" w14:textId="77777777" w:rsidR="002834ED" w:rsidRDefault="002834ED" w:rsidP="002834ED">
            <w:pPr>
              <w:pStyle w:val="TableParagraph"/>
              <w:spacing w:before="1"/>
              <w:ind w:right="203"/>
              <w:rPr>
                <w:sz w:val="20"/>
              </w:rPr>
            </w:pPr>
          </w:p>
          <w:tbl>
            <w:tblPr>
              <w:tblW w:w="7100" w:type="dxa"/>
              <w:tblLook w:val="04A0" w:firstRow="1" w:lastRow="0" w:firstColumn="1" w:lastColumn="0" w:noHBand="0" w:noVBand="1"/>
            </w:tblPr>
            <w:tblGrid>
              <w:gridCol w:w="1420"/>
              <w:gridCol w:w="1420"/>
              <w:gridCol w:w="1420"/>
              <w:gridCol w:w="1420"/>
              <w:gridCol w:w="1420"/>
            </w:tblGrid>
            <w:tr w:rsidR="002834ED" w:rsidRPr="002834ED" w14:paraId="760C53B0" w14:textId="77777777" w:rsidTr="002834ED">
              <w:trPr>
                <w:trHeight w:val="615"/>
              </w:trPr>
              <w:tc>
                <w:tcPr>
                  <w:tcW w:w="2840" w:type="dxa"/>
                  <w:gridSpan w:val="2"/>
                  <w:tcBorders>
                    <w:top w:val="single" w:sz="8" w:space="0" w:color="auto"/>
                    <w:left w:val="single" w:sz="8" w:space="0" w:color="auto"/>
                    <w:bottom w:val="single" w:sz="8" w:space="0" w:color="auto"/>
                    <w:right w:val="single" w:sz="8" w:space="0" w:color="000000"/>
                  </w:tcBorders>
                  <w:vAlign w:val="center"/>
                  <w:hideMark/>
                </w:tcPr>
                <w:p w14:paraId="0425871E"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Assessment of key pressures</w:t>
                  </w:r>
                </w:p>
              </w:tc>
              <w:tc>
                <w:tcPr>
                  <w:tcW w:w="1420" w:type="dxa"/>
                  <w:tcBorders>
                    <w:top w:val="single" w:sz="8" w:space="0" w:color="auto"/>
                    <w:left w:val="nil"/>
                    <w:bottom w:val="single" w:sz="8" w:space="0" w:color="auto"/>
                    <w:right w:val="single" w:sz="8" w:space="0" w:color="auto"/>
                  </w:tcBorders>
                  <w:vAlign w:val="center"/>
                  <w:hideMark/>
                </w:tcPr>
                <w:p w14:paraId="2EBD2D91"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eastAsia="en-GB"/>
                    </w:rPr>
                    <w:t>Fishing pressure</w:t>
                  </w:r>
                </w:p>
              </w:tc>
              <w:tc>
                <w:tcPr>
                  <w:tcW w:w="1420" w:type="dxa"/>
                  <w:tcBorders>
                    <w:top w:val="single" w:sz="8" w:space="0" w:color="auto"/>
                    <w:left w:val="nil"/>
                    <w:bottom w:val="single" w:sz="8" w:space="0" w:color="auto"/>
                    <w:right w:val="single" w:sz="8" w:space="0" w:color="auto"/>
                  </w:tcBorders>
                  <w:vAlign w:val="center"/>
                  <w:hideMark/>
                </w:tcPr>
                <w:p w14:paraId="2A89D8D6"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eastAsia="en-GB"/>
                    </w:rPr>
                    <w:t>Climate change</w:t>
                  </w:r>
                </w:p>
              </w:tc>
              <w:tc>
                <w:tcPr>
                  <w:tcW w:w="1420" w:type="dxa"/>
                  <w:tcBorders>
                    <w:top w:val="single" w:sz="8" w:space="0" w:color="auto"/>
                    <w:left w:val="nil"/>
                    <w:bottom w:val="single" w:sz="8" w:space="0" w:color="auto"/>
                    <w:right w:val="single" w:sz="8" w:space="0" w:color="auto"/>
                  </w:tcBorders>
                  <w:vAlign w:val="center"/>
                  <w:hideMark/>
                </w:tcPr>
                <w:p w14:paraId="05505653"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eastAsia="en-GB"/>
                    </w:rPr>
                    <w:t>Threat or impact</w:t>
                  </w:r>
                </w:p>
              </w:tc>
            </w:tr>
            <w:tr w:rsidR="002834ED" w:rsidRPr="002834ED" w14:paraId="59EFA41C" w14:textId="77777777" w:rsidTr="002834ED">
              <w:trPr>
                <w:trHeight w:val="315"/>
              </w:trPr>
              <w:tc>
                <w:tcPr>
                  <w:tcW w:w="1420" w:type="dxa"/>
                  <w:vMerge w:val="restart"/>
                  <w:tcBorders>
                    <w:top w:val="nil"/>
                    <w:left w:val="single" w:sz="8" w:space="0" w:color="auto"/>
                    <w:bottom w:val="single" w:sz="8" w:space="0" w:color="000000"/>
                    <w:right w:val="single" w:sz="8" w:space="0" w:color="auto"/>
                  </w:tcBorders>
                  <w:vAlign w:val="center"/>
                  <w:hideMark/>
                </w:tcPr>
                <w:p w14:paraId="51F38737"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r w:rsidRPr="002834ED">
                    <w:rPr>
                      <w:rFonts w:eastAsia="Times New Roman"/>
                      <w:b/>
                      <w:bCs/>
                      <w:color w:val="00000A"/>
                      <w:lang w:val="en-GB" w:eastAsia="en-GB"/>
                    </w:rPr>
                    <w:t> Region</w:t>
                  </w:r>
                </w:p>
              </w:tc>
              <w:tc>
                <w:tcPr>
                  <w:tcW w:w="1420" w:type="dxa"/>
                  <w:tcBorders>
                    <w:top w:val="nil"/>
                    <w:left w:val="nil"/>
                    <w:bottom w:val="single" w:sz="8" w:space="0" w:color="auto"/>
                    <w:right w:val="single" w:sz="8" w:space="0" w:color="auto"/>
                  </w:tcBorders>
                  <w:vAlign w:val="center"/>
                  <w:hideMark/>
                </w:tcPr>
                <w:p w14:paraId="069721A0"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w:t>
                  </w:r>
                </w:p>
              </w:tc>
              <w:tc>
                <w:tcPr>
                  <w:tcW w:w="1420" w:type="dxa"/>
                  <w:tcBorders>
                    <w:top w:val="nil"/>
                    <w:left w:val="nil"/>
                    <w:bottom w:val="single" w:sz="8" w:space="0" w:color="auto"/>
                    <w:right w:val="single" w:sz="8" w:space="0" w:color="auto"/>
                  </w:tcBorders>
                  <w:vAlign w:val="center"/>
                  <w:hideMark/>
                </w:tcPr>
                <w:p w14:paraId="6EF1A607"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c>
                <w:tcPr>
                  <w:tcW w:w="1420" w:type="dxa"/>
                  <w:tcBorders>
                    <w:top w:val="nil"/>
                    <w:left w:val="nil"/>
                    <w:bottom w:val="single" w:sz="8" w:space="0" w:color="auto"/>
                    <w:right w:val="single" w:sz="8" w:space="0" w:color="auto"/>
                  </w:tcBorders>
                  <w:vAlign w:val="center"/>
                  <w:hideMark/>
                </w:tcPr>
                <w:p w14:paraId="477B4F82"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c>
                <w:tcPr>
                  <w:tcW w:w="1420" w:type="dxa"/>
                  <w:tcBorders>
                    <w:top w:val="nil"/>
                    <w:left w:val="nil"/>
                    <w:bottom w:val="single" w:sz="8" w:space="0" w:color="auto"/>
                    <w:right w:val="single" w:sz="8" w:space="0" w:color="auto"/>
                  </w:tcBorders>
                  <w:vAlign w:val="center"/>
                  <w:hideMark/>
                </w:tcPr>
                <w:p w14:paraId="60A5F688"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r>
            <w:tr w:rsidR="002834ED" w:rsidRPr="002834ED" w14:paraId="293805CC"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5977A4CE"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5DFA5C7C"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II</w:t>
                  </w:r>
                </w:p>
              </w:tc>
              <w:tc>
                <w:tcPr>
                  <w:tcW w:w="1420" w:type="dxa"/>
                  <w:tcBorders>
                    <w:top w:val="nil"/>
                    <w:left w:val="nil"/>
                    <w:bottom w:val="single" w:sz="8" w:space="0" w:color="auto"/>
                    <w:right w:val="single" w:sz="8" w:space="0" w:color="auto"/>
                  </w:tcBorders>
                  <w:vAlign w:val="center"/>
                  <w:hideMark/>
                </w:tcPr>
                <w:p w14:paraId="68BADF3B"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c>
                <w:tcPr>
                  <w:tcW w:w="1420" w:type="dxa"/>
                  <w:tcBorders>
                    <w:top w:val="nil"/>
                    <w:left w:val="nil"/>
                    <w:bottom w:val="single" w:sz="8" w:space="0" w:color="auto"/>
                    <w:right w:val="single" w:sz="8" w:space="0" w:color="auto"/>
                  </w:tcBorders>
                  <w:vAlign w:val="center"/>
                  <w:hideMark/>
                </w:tcPr>
                <w:p w14:paraId="6412C0A2"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c>
                <w:tcPr>
                  <w:tcW w:w="1420" w:type="dxa"/>
                  <w:tcBorders>
                    <w:top w:val="nil"/>
                    <w:left w:val="nil"/>
                    <w:bottom w:val="single" w:sz="8" w:space="0" w:color="auto"/>
                    <w:right w:val="single" w:sz="8" w:space="0" w:color="auto"/>
                  </w:tcBorders>
                  <w:vAlign w:val="center"/>
                  <w:hideMark/>
                </w:tcPr>
                <w:p w14:paraId="3E74FDC3"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r>
            <w:tr w:rsidR="002834ED" w:rsidRPr="002834ED" w14:paraId="001F5118"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6543226C"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5B8C75BB"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III</w:t>
                  </w:r>
                </w:p>
              </w:tc>
              <w:tc>
                <w:tcPr>
                  <w:tcW w:w="1420" w:type="dxa"/>
                  <w:tcBorders>
                    <w:top w:val="nil"/>
                    <w:left w:val="nil"/>
                    <w:bottom w:val="single" w:sz="8" w:space="0" w:color="auto"/>
                    <w:right w:val="single" w:sz="8" w:space="0" w:color="auto"/>
                  </w:tcBorders>
                  <w:vAlign w:val="center"/>
                  <w:hideMark/>
                </w:tcPr>
                <w:p w14:paraId="368D615F"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c>
                <w:tcPr>
                  <w:tcW w:w="1420" w:type="dxa"/>
                  <w:tcBorders>
                    <w:top w:val="nil"/>
                    <w:left w:val="nil"/>
                    <w:bottom w:val="single" w:sz="8" w:space="0" w:color="auto"/>
                    <w:right w:val="single" w:sz="8" w:space="0" w:color="auto"/>
                  </w:tcBorders>
                  <w:vAlign w:val="center"/>
                  <w:hideMark/>
                </w:tcPr>
                <w:p w14:paraId="68DD5C91"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c>
                <w:tcPr>
                  <w:tcW w:w="1420" w:type="dxa"/>
                  <w:tcBorders>
                    <w:top w:val="nil"/>
                    <w:left w:val="nil"/>
                    <w:bottom w:val="single" w:sz="8" w:space="0" w:color="auto"/>
                    <w:right w:val="single" w:sz="8" w:space="0" w:color="auto"/>
                  </w:tcBorders>
                  <w:vAlign w:val="center"/>
                  <w:hideMark/>
                </w:tcPr>
                <w:p w14:paraId="0F350577"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 </w:t>
                  </w:r>
                </w:p>
              </w:tc>
            </w:tr>
            <w:tr w:rsidR="002834ED" w:rsidRPr="002834ED" w14:paraId="2F707C4E"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4C76B54C"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01160B91"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IV</w:t>
                  </w:r>
                </w:p>
              </w:tc>
              <w:tc>
                <w:tcPr>
                  <w:tcW w:w="1420" w:type="dxa"/>
                  <w:tcBorders>
                    <w:top w:val="nil"/>
                    <w:left w:val="nil"/>
                    <w:bottom w:val="single" w:sz="8" w:space="0" w:color="auto"/>
                    <w:right w:val="single" w:sz="8" w:space="0" w:color="auto"/>
                  </w:tcBorders>
                  <w:vAlign w:val="center"/>
                  <w:hideMark/>
                </w:tcPr>
                <w:p w14:paraId="45C66B34"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680B8634"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c>
                <w:tcPr>
                  <w:tcW w:w="1420" w:type="dxa"/>
                  <w:tcBorders>
                    <w:top w:val="nil"/>
                    <w:left w:val="nil"/>
                    <w:bottom w:val="single" w:sz="8" w:space="0" w:color="auto"/>
                    <w:right w:val="single" w:sz="8" w:space="0" w:color="auto"/>
                  </w:tcBorders>
                  <w:vAlign w:val="center"/>
                  <w:hideMark/>
                </w:tcPr>
                <w:p w14:paraId="1D2855CE" w14:textId="77777777" w:rsidR="002834ED" w:rsidRPr="002834ED" w:rsidRDefault="002834ED" w:rsidP="009900A0">
                  <w:pPr>
                    <w:framePr w:hSpace="180" w:wrap="around" w:vAnchor="text" w:hAnchor="text" w:y="1"/>
                    <w:widowControl/>
                    <w:autoSpaceDE/>
                    <w:autoSpaceDN/>
                    <w:suppressOverlap/>
                    <w:jc w:val="center"/>
                    <w:rPr>
                      <w:rFonts w:eastAsia="Times New Roman"/>
                      <w:color w:val="00000A"/>
                      <w:lang w:val="en-GB" w:eastAsia="en-GB"/>
                    </w:rPr>
                  </w:pPr>
                  <w:r w:rsidRPr="002834ED">
                    <w:rPr>
                      <w:rFonts w:eastAsia="Times New Roman"/>
                      <w:color w:val="00000A"/>
                      <w:lang w:val="en-GB" w:eastAsia="en-GB"/>
                    </w:rPr>
                    <w:t> </w:t>
                  </w:r>
                </w:p>
              </w:tc>
            </w:tr>
            <w:tr w:rsidR="002834ED" w:rsidRPr="002834ED" w14:paraId="05CC3D78" w14:textId="77777777" w:rsidTr="002834ED">
              <w:trPr>
                <w:trHeight w:val="315"/>
              </w:trPr>
              <w:tc>
                <w:tcPr>
                  <w:tcW w:w="1420" w:type="dxa"/>
                  <w:vMerge/>
                  <w:tcBorders>
                    <w:top w:val="nil"/>
                    <w:left w:val="single" w:sz="8" w:space="0" w:color="auto"/>
                    <w:bottom w:val="single" w:sz="8" w:space="0" w:color="000000"/>
                    <w:right w:val="single" w:sz="8" w:space="0" w:color="auto"/>
                  </w:tcBorders>
                  <w:vAlign w:val="center"/>
                  <w:hideMark/>
                </w:tcPr>
                <w:p w14:paraId="095D8638" w14:textId="77777777" w:rsidR="002834ED" w:rsidRPr="002834ED" w:rsidRDefault="002834ED" w:rsidP="009900A0">
                  <w:pPr>
                    <w:framePr w:hSpace="180" w:wrap="around" w:vAnchor="text" w:hAnchor="text" w:y="1"/>
                    <w:widowControl/>
                    <w:autoSpaceDE/>
                    <w:autoSpaceDN/>
                    <w:suppressOverlap/>
                    <w:rPr>
                      <w:rFonts w:eastAsia="Times New Roman"/>
                      <w:b/>
                      <w:bCs/>
                      <w:color w:val="00000A"/>
                      <w:lang w:val="en-GB" w:eastAsia="en-GB"/>
                    </w:rPr>
                  </w:pPr>
                </w:p>
              </w:tc>
              <w:tc>
                <w:tcPr>
                  <w:tcW w:w="1420" w:type="dxa"/>
                  <w:tcBorders>
                    <w:top w:val="nil"/>
                    <w:left w:val="nil"/>
                    <w:bottom w:val="single" w:sz="8" w:space="0" w:color="auto"/>
                    <w:right w:val="single" w:sz="8" w:space="0" w:color="auto"/>
                  </w:tcBorders>
                  <w:vAlign w:val="center"/>
                  <w:hideMark/>
                </w:tcPr>
                <w:p w14:paraId="63F2C990" w14:textId="77777777" w:rsidR="002834ED" w:rsidRPr="002834ED" w:rsidRDefault="002834ED" w:rsidP="009900A0">
                  <w:pPr>
                    <w:framePr w:hSpace="180" w:wrap="around" w:vAnchor="text" w:hAnchor="text" w:y="1"/>
                    <w:widowControl/>
                    <w:autoSpaceDE/>
                    <w:autoSpaceDN/>
                    <w:suppressOverlap/>
                    <w:jc w:val="center"/>
                    <w:rPr>
                      <w:rFonts w:eastAsia="Times New Roman"/>
                      <w:b/>
                      <w:bCs/>
                      <w:color w:val="00000A"/>
                      <w:lang w:val="en-GB" w:eastAsia="en-GB"/>
                    </w:rPr>
                  </w:pPr>
                  <w:r w:rsidRPr="002834ED">
                    <w:rPr>
                      <w:rFonts w:eastAsia="Times New Roman"/>
                      <w:b/>
                      <w:bCs/>
                      <w:color w:val="00000A"/>
                      <w:lang w:val="en-GB" w:eastAsia="en-GB"/>
                    </w:rPr>
                    <w:t>V</w:t>
                  </w:r>
                </w:p>
              </w:tc>
              <w:tc>
                <w:tcPr>
                  <w:tcW w:w="1420" w:type="dxa"/>
                  <w:tcBorders>
                    <w:top w:val="nil"/>
                    <w:left w:val="nil"/>
                    <w:bottom w:val="single" w:sz="8" w:space="0" w:color="auto"/>
                    <w:right w:val="single" w:sz="8" w:space="0" w:color="auto"/>
                  </w:tcBorders>
                  <w:vAlign w:val="center"/>
                  <w:hideMark/>
                </w:tcPr>
                <w:p w14:paraId="742B947E"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eastAsia="en-GB"/>
                    </w:rPr>
                    <w:t>↓4,5</w:t>
                  </w:r>
                </w:p>
              </w:tc>
              <w:tc>
                <w:tcPr>
                  <w:tcW w:w="1420" w:type="dxa"/>
                  <w:tcBorders>
                    <w:top w:val="nil"/>
                    <w:left w:val="nil"/>
                    <w:bottom w:val="single" w:sz="8" w:space="0" w:color="auto"/>
                    <w:right w:val="single" w:sz="8" w:space="0" w:color="auto"/>
                  </w:tcBorders>
                  <w:vAlign w:val="center"/>
                  <w:hideMark/>
                </w:tcPr>
                <w:p w14:paraId="46EC974A"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w:t>
                  </w:r>
                </w:p>
              </w:tc>
              <w:tc>
                <w:tcPr>
                  <w:tcW w:w="1420" w:type="dxa"/>
                  <w:tcBorders>
                    <w:top w:val="nil"/>
                    <w:left w:val="nil"/>
                    <w:bottom w:val="single" w:sz="8" w:space="0" w:color="auto"/>
                    <w:right w:val="single" w:sz="8" w:space="0" w:color="auto"/>
                  </w:tcBorders>
                  <w:shd w:val="clear" w:color="000000" w:fill="4EA72E"/>
                  <w:vAlign w:val="center"/>
                  <w:hideMark/>
                </w:tcPr>
                <w:p w14:paraId="7D74D2E9" w14:textId="77777777" w:rsidR="002834ED" w:rsidRPr="002834ED" w:rsidRDefault="002834ED" w:rsidP="009900A0">
                  <w:pPr>
                    <w:framePr w:hSpace="180" w:wrap="around" w:vAnchor="text" w:hAnchor="text" w:y="1"/>
                    <w:widowControl/>
                    <w:autoSpaceDE/>
                    <w:autoSpaceDN/>
                    <w:suppressOverlap/>
                    <w:rPr>
                      <w:rFonts w:eastAsia="Times New Roman"/>
                      <w:color w:val="000000"/>
                      <w:lang w:val="en-GB" w:eastAsia="en-GB"/>
                    </w:rPr>
                  </w:pPr>
                  <w:r w:rsidRPr="002834ED">
                    <w:rPr>
                      <w:rFonts w:eastAsia="Times New Roman"/>
                      <w:color w:val="000000"/>
                      <w:lang w:val="en-GB" w:eastAsia="en-GB"/>
                    </w:rPr>
                    <w:t>↓4,5</w:t>
                  </w:r>
                </w:p>
              </w:tc>
            </w:tr>
          </w:tbl>
          <w:p w14:paraId="116D9DC4" w14:textId="77777777" w:rsidR="002834ED" w:rsidRDefault="002834ED" w:rsidP="002834ED">
            <w:pPr>
              <w:pStyle w:val="TableParagraph"/>
              <w:spacing w:before="1"/>
              <w:ind w:right="203"/>
              <w:rPr>
                <w:sz w:val="20"/>
              </w:rPr>
            </w:pPr>
          </w:p>
          <w:p w14:paraId="0951C342" w14:textId="77777777" w:rsidR="002834ED" w:rsidRPr="000509B1" w:rsidRDefault="002834ED" w:rsidP="002834ED">
            <w:pPr>
              <w:tabs>
                <w:tab w:val="left" w:pos="2580"/>
              </w:tabs>
              <w:rPr>
                <w:lang w:val="pt-PT"/>
              </w:rPr>
            </w:pPr>
            <w:r w:rsidRPr="000509B1">
              <w:rPr>
                <w:lang w:val="pt-PT"/>
              </w:rPr>
              <w:t xml:space="preserve">Explanation to table: </w:t>
            </w:r>
          </w:p>
          <w:p w14:paraId="20BC6011" w14:textId="77777777" w:rsidR="002834ED" w:rsidRPr="00E40B25" w:rsidRDefault="002834ED" w:rsidP="002834ED">
            <w:pPr>
              <w:tabs>
                <w:tab w:val="left" w:pos="2580"/>
              </w:tabs>
            </w:pPr>
            <w:r w:rsidRPr="00E40B25">
              <w:rPr>
                <w:b/>
                <w:u w:val="single"/>
              </w:rPr>
              <w:t>Key Pressure</w:t>
            </w:r>
          </w:p>
          <w:p w14:paraId="75BE42A4" w14:textId="77777777" w:rsidR="002834ED" w:rsidRPr="00E40B25" w:rsidRDefault="002834ED" w:rsidP="002834ED">
            <w:r w:rsidRPr="00E40B25">
              <w:rPr>
                <w:b/>
              </w:rPr>
              <w:t>↓</w:t>
            </w:r>
            <w:r w:rsidRPr="00E40B25">
              <w:rPr>
                <w:b/>
              </w:rPr>
              <w:tab/>
            </w:r>
            <w:r w:rsidRPr="00E40B25">
              <w:t xml:space="preserve">key pressures and human activities reducing </w:t>
            </w:r>
          </w:p>
          <w:p w14:paraId="1F0F7EF2" w14:textId="77777777" w:rsidR="002834ED" w:rsidRPr="00E40B25" w:rsidRDefault="002834ED" w:rsidP="002834ED">
            <w:pPr>
              <w:rPr>
                <w:b/>
              </w:rPr>
            </w:pPr>
            <w:r w:rsidRPr="00E40B25">
              <w:rPr>
                <w:b/>
              </w:rPr>
              <w:t>↑</w:t>
            </w:r>
            <w:r w:rsidRPr="00E40B25">
              <w:rPr>
                <w:b/>
              </w:rPr>
              <w:tab/>
            </w:r>
            <w:r w:rsidRPr="00E40B25">
              <w:t>key pressures and human activities increasing</w:t>
            </w:r>
          </w:p>
          <w:p w14:paraId="3085DD03" w14:textId="77777777" w:rsidR="002834ED" w:rsidRPr="00E40B25" w:rsidRDefault="002834ED" w:rsidP="002834ED">
            <w:r w:rsidRPr="00E40B25">
              <w:rPr>
                <w:b/>
              </w:rPr>
              <w:t xml:space="preserve">←→ </w:t>
            </w:r>
            <w:r w:rsidRPr="00E40B25">
              <w:rPr>
                <w:b/>
              </w:rPr>
              <w:tab/>
            </w:r>
            <w:r w:rsidRPr="00E40B25">
              <w:t>no change in key pressures and human activities</w:t>
            </w:r>
          </w:p>
          <w:p w14:paraId="1A7C806D" w14:textId="77777777" w:rsidR="002834ED" w:rsidRPr="00E40B25" w:rsidRDefault="002834ED" w:rsidP="002834ED">
            <w:pPr>
              <w:rPr>
                <w:b/>
              </w:rPr>
            </w:pPr>
            <w:r w:rsidRPr="00E40B25">
              <w:rPr>
                <w:b/>
              </w:rPr>
              <w:t xml:space="preserve">? </w:t>
            </w:r>
            <w:r w:rsidRPr="00E40B25">
              <w:t>Change in pressure and human activities uncertain</w:t>
            </w:r>
          </w:p>
          <w:p w14:paraId="3557A240" w14:textId="77777777" w:rsidR="002834ED" w:rsidRPr="00E40B25" w:rsidRDefault="002834ED" w:rsidP="002834ED">
            <w:pPr>
              <w:rPr>
                <w:b/>
                <w:u w:val="single"/>
              </w:rPr>
            </w:pPr>
            <w:r w:rsidRPr="00E40B25">
              <w:rPr>
                <w:b/>
                <w:u w:val="single"/>
              </w:rPr>
              <w:t xml:space="preserve">Threats or impacts </w:t>
            </w:r>
            <w:r w:rsidRPr="00E40B25">
              <w:rPr>
                <w:sz w:val="18"/>
                <w:szCs w:val="18"/>
              </w:rPr>
              <w:t>(overall assessment)</w:t>
            </w:r>
          </w:p>
          <w:p w14:paraId="7DF8441E" w14:textId="77777777" w:rsidR="002834ED" w:rsidRPr="00E40B25" w:rsidRDefault="002834ED" w:rsidP="002834ED">
            <w:r w:rsidRPr="00E40B25">
              <w:rPr>
                <w:highlight w:val="red"/>
              </w:rPr>
              <w:lastRenderedPageBreak/>
              <w:t>red</w:t>
            </w:r>
            <w:r w:rsidRPr="00E40B25">
              <w:t xml:space="preserve"> – significant threat or impact;</w:t>
            </w:r>
          </w:p>
          <w:p w14:paraId="385A2F0E" w14:textId="77777777" w:rsidR="002834ED" w:rsidRPr="00E40B25" w:rsidRDefault="002834ED" w:rsidP="002834ED">
            <w:r w:rsidRPr="00E40B25">
              <w:rPr>
                <w:highlight w:val="green"/>
              </w:rPr>
              <w:t>green</w:t>
            </w:r>
            <w:r w:rsidRPr="00E40B25">
              <w:t xml:space="preserve"> – no evidence of a significant threat or impact</w:t>
            </w:r>
          </w:p>
          <w:p w14:paraId="76CC052C" w14:textId="77777777" w:rsidR="002834ED" w:rsidRPr="00E40B25" w:rsidRDefault="002834ED" w:rsidP="002834ED">
            <w:pPr>
              <w:rPr>
                <w:b/>
                <w:u w:val="single"/>
              </w:rPr>
            </w:pPr>
            <w:r w:rsidRPr="00E40B25">
              <w:rPr>
                <w:shd w:val="clear" w:color="auto" w:fill="DAEEF3"/>
              </w:rPr>
              <w:t>Blue cells</w:t>
            </w:r>
            <w:r w:rsidRPr="00E40B25">
              <w:t xml:space="preserve"> – insufficient information available</w:t>
            </w:r>
            <w:r w:rsidRPr="00E40B25">
              <w:rPr>
                <w:b/>
                <w:u w:val="single"/>
              </w:rPr>
              <w:t xml:space="preserve"> </w:t>
            </w:r>
          </w:p>
          <w:p w14:paraId="0BEF6811" w14:textId="77777777" w:rsidR="002834ED" w:rsidRPr="00E40B25" w:rsidRDefault="002834ED" w:rsidP="002834ED">
            <w:pPr>
              <w:rPr>
                <w:b/>
                <w:u w:val="single"/>
              </w:rPr>
            </w:pPr>
            <w:r w:rsidRPr="00E40B25">
              <w:rPr>
                <w:b/>
                <w:u w:val="single"/>
              </w:rPr>
              <w:t>Types of assessment:</w:t>
            </w:r>
          </w:p>
          <w:p w14:paraId="7A780A0C" w14:textId="77777777" w:rsidR="002834ED" w:rsidRPr="00E40B25" w:rsidRDefault="002834ED" w:rsidP="002834ED">
            <w:r w:rsidRPr="00E40B25">
              <w:t xml:space="preserve">1 – direct data driven, </w:t>
            </w:r>
          </w:p>
          <w:p w14:paraId="6A265F33" w14:textId="77777777" w:rsidR="002834ED" w:rsidRPr="00E40B25" w:rsidRDefault="002834ED" w:rsidP="002834ED">
            <w:r w:rsidRPr="00E40B25">
              <w:t xml:space="preserve">2 – indirect data driven, </w:t>
            </w:r>
          </w:p>
          <w:p w14:paraId="5D1F16A5" w14:textId="77777777" w:rsidR="002834ED" w:rsidRPr="00E40B25" w:rsidRDefault="002834ED" w:rsidP="002834ED">
            <w:r w:rsidRPr="00E40B25">
              <w:t xml:space="preserve">3 – third party assessment close-geographic match, </w:t>
            </w:r>
          </w:p>
          <w:p w14:paraId="0CB4A018" w14:textId="77777777" w:rsidR="002834ED" w:rsidRPr="00E40B25" w:rsidRDefault="002834ED" w:rsidP="002834ED">
            <w:r w:rsidRPr="00E40B25">
              <w:t xml:space="preserve">4 – third party assessment partial-geographic match  </w:t>
            </w:r>
          </w:p>
          <w:p w14:paraId="06E8B6C7" w14:textId="77777777" w:rsidR="002834ED" w:rsidRDefault="002834ED" w:rsidP="002834ED">
            <w:pPr>
              <w:pStyle w:val="TableParagraph"/>
              <w:spacing w:before="1"/>
              <w:ind w:right="203"/>
            </w:pPr>
            <w:r w:rsidRPr="00E40B25">
              <w:t>5 – expert judgement.</w:t>
            </w:r>
          </w:p>
          <w:p w14:paraId="124E0869" w14:textId="17314A3C" w:rsidR="002834ED" w:rsidRDefault="002834ED" w:rsidP="002834ED">
            <w:pPr>
              <w:pStyle w:val="TableParagraph"/>
              <w:spacing w:before="1"/>
              <w:ind w:right="203"/>
              <w:rPr>
                <w:sz w:val="20"/>
              </w:rPr>
            </w:pPr>
          </w:p>
        </w:tc>
      </w:tr>
      <w:tr w:rsidR="005042A3" w14:paraId="4A012606" w14:textId="77777777" w:rsidTr="002834ED">
        <w:trPr>
          <w:trHeight w:val="359"/>
        </w:trPr>
        <w:tc>
          <w:tcPr>
            <w:tcW w:w="2467" w:type="dxa"/>
          </w:tcPr>
          <w:p w14:paraId="4AACEEE2" w14:textId="77777777" w:rsidR="005042A3" w:rsidRDefault="00982504" w:rsidP="002834ED">
            <w:pPr>
              <w:pStyle w:val="TableParagraph"/>
              <w:spacing w:before="56"/>
              <w:ind w:left="107"/>
              <w:rPr>
                <w:sz w:val="20"/>
              </w:rPr>
            </w:pPr>
            <w:r>
              <w:rPr>
                <w:spacing w:val="-2"/>
                <w:sz w:val="20"/>
              </w:rPr>
              <w:lastRenderedPageBreak/>
              <w:t>Confidence</w:t>
            </w:r>
          </w:p>
        </w:tc>
        <w:tc>
          <w:tcPr>
            <w:tcW w:w="11314" w:type="dxa"/>
            <w:tcBorders>
              <w:top w:val="single" w:sz="8" w:space="0" w:color="000000"/>
            </w:tcBorders>
          </w:tcPr>
          <w:p w14:paraId="67552F36" w14:textId="77777777" w:rsidR="005042A3" w:rsidRDefault="00982504" w:rsidP="002834ED">
            <w:pPr>
              <w:pStyle w:val="TableParagraph"/>
              <w:spacing w:before="56"/>
              <w:ind w:left="110"/>
              <w:rPr>
                <w:sz w:val="20"/>
              </w:rPr>
            </w:pPr>
            <w:r>
              <w:rPr>
                <w:spacing w:val="-4"/>
                <w:sz w:val="20"/>
              </w:rPr>
              <w:t>High</w:t>
            </w:r>
          </w:p>
        </w:tc>
      </w:tr>
    </w:tbl>
    <w:p w14:paraId="291C943D" w14:textId="1E9BE582" w:rsidR="005042A3" w:rsidRDefault="002834ED">
      <w:pPr>
        <w:pStyle w:val="TableParagraph"/>
        <w:rPr>
          <w:sz w:val="20"/>
        </w:rPr>
        <w:sectPr w:rsidR="005042A3" w:rsidSect="008C1F80">
          <w:headerReference w:type="default" r:id="rId9"/>
          <w:footerReference w:type="default" r:id="rId10"/>
          <w:headerReference w:type="first" r:id="rId11"/>
          <w:footerReference w:type="first" r:id="rId12"/>
          <w:type w:val="continuous"/>
          <w:pgSz w:w="16850" w:h="11920" w:orient="landscape"/>
          <w:pgMar w:top="1440" w:right="1440" w:bottom="1440" w:left="1440" w:header="746" w:footer="962" w:gutter="0"/>
          <w:pgNumType w:start="29"/>
          <w:cols w:space="720"/>
          <w:titlePg/>
          <w:docGrid w:linePitch="299"/>
        </w:sectPr>
      </w:pPr>
      <w:r>
        <w:rPr>
          <w:sz w:val="20"/>
        </w:rPr>
        <w:br w:type="textWrapping" w:clear="all"/>
      </w: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2"/>
        <w:gridCol w:w="7814"/>
      </w:tblGrid>
      <w:tr w:rsidR="005042A3" w14:paraId="369CDA64" w14:textId="77777777">
        <w:trPr>
          <w:trHeight w:val="4209"/>
        </w:trPr>
        <w:tc>
          <w:tcPr>
            <w:tcW w:w="2472" w:type="dxa"/>
          </w:tcPr>
          <w:p w14:paraId="486FBCC1" w14:textId="77777777" w:rsidR="005042A3" w:rsidRDefault="005042A3">
            <w:pPr>
              <w:pStyle w:val="TableParagraph"/>
              <w:rPr>
                <w:b/>
                <w:sz w:val="20"/>
              </w:rPr>
            </w:pPr>
          </w:p>
          <w:p w14:paraId="01A914BB" w14:textId="77777777" w:rsidR="005042A3" w:rsidRDefault="005042A3">
            <w:pPr>
              <w:pStyle w:val="TableParagraph"/>
              <w:rPr>
                <w:b/>
                <w:sz w:val="20"/>
              </w:rPr>
            </w:pPr>
          </w:p>
          <w:p w14:paraId="4E8CEA87" w14:textId="77777777" w:rsidR="005042A3" w:rsidRDefault="005042A3">
            <w:pPr>
              <w:pStyle w:val="TableParagraph"/>
              <w:rPr>
                <w:b/>
                <w:sz w:val="20"/>
              </w:rPr>
            </w:pPr>
          </w:p>
          <w:p w14:paraId="0F0E1769" w14:textId="77777777" w:rsidR="005042A3" w:rsidRDefault="005042A3">
            <w:pPr>
              <w:pStyle w:val="TableParagraph"/>
              <w:rPr>
                <w:b/>
                <w:sz w:val="20"/>
              </w:rPr>
            </w:pPr>
          </w:p>
          <w:p w14:paraId="2AA4D855" w14:textId="77777777" w:rsidR="005042A3" w:rsidRDefault="005042A3">
            <w:pPr>
              <w:pStyle w:val="TableParagraph"/>
              <w:rPr>
                <w:b/>
                <w:sz w:val="20"/>
              </w:rPr>
            </w:pPr>
          </w:p>
          <w:p w14:paraId="110C0FC5" w14:textId="77777777" w:rsidR="005042A3" w:rsidRDefault="005042A3">
            <w:pPr>
              <w:pStyle w:val="TableParagraph"/>
              <w:rPr>
                <w:b/>
                <w:sz w:val="20"/>
              </w:rPr>
            </w:pPr>
          </w:p>
          <w:p w14:paraId="16C5B8B5" w14:textId="77777777" w:rsidR="005042A3" w:rsidRDefault="005042A3">
            <w:pPr>
              <w:pStyle w:val="TableParagraph"/>
              <w:spacing w:before="152"/>
              <w:rPr>
                <w:b/>
                <w:sz w:val="20"/>
              </w:rPr>
            </w:pPr>
          </w:p>
          <w:p w14:paraId="3A4BBDD0" w14:textId="77777777" w:rsidR="005042A3" w:rsidRDefault="00982504">
            <w:pPr>
              <w:pStyle w:val="TableParagraph"/>
              <w:ind w:left="107" w:right="764"/>
              <w:rPr>
                <w:sz w:val="20"/>
              </w:rPr>
            </w:pPr>
            <w:r>
              <w:rPr>
                <w:spacing w:val="-2"/>
                <w:sz w:val="20"/>
              </w:rPr>
              <w:t>Background information</w:t>
            </w:r>
          </w:p>
        </w:tc>
        <w:tc>
          <w:tcPr>
            <w:tcW w:w="7814" w:type="dxa"/>
          </w:tcPr>
          <w:p w14:paraId="06BDA809" w14:textId="77777777" w:rsidR="005042A3" w:rsidRDefault="00982504">
            <w:pPr>
              <w:pStyle w:val="TableParagraph"/>
              <w:numPr>
                <w:ilvl w:val="0"/>
                <w:numId w:val="1"/>
              </w:numPr>
              <w:tabs>
                <w:tab w:val="left" w:pos="829"/>
              </w:tabs>
              <w:spacing w:before="120"/>
              <w:ind w:left="829" w:hanging="359"/>
              <w:jc w:val="both"/>
              <w:rPr>
                <w:sz w:val="20"/>
              </w:rPr>
            </w:pPr>
            <w:r>
              <w:rPr>
                <w:sz w:val="20"/>
              </w:rPr>
              <w:t>Year</w:t>
            </w:r>
            <w:r>
              <w:rPr>
                <w:spacing w:val="-6"/>
                <w:sz w:val="20"/>
              </w:rPr>
              <w:t xml:space="preserve"> </w:t>
            </w:r>
            <w:r>
              <w:rPr>
                <w:sz w:val="20"/>
              </w:rPr>
              <w:t>added</w:t>
            </w:r>
            <w:r>
              <w:rPr>
                <w:spacing w:val="-4"/>
                <w:sz w:val="20"/>
              </w:rPr>
              <w:t xml:space="preserve"> </w:t>
            </w:r>
            <w:r>
              <w:rPr>
                <w:sz w:val="20"/>
              </w:rPr>
              <w:t>to</w:t>
            </w:r>
            <w:r>
              <w:rPr>
                <w:spacing w:val="-5"/>
                <w:sz w:val="20"/>
              </w:rPr>
              <w:t xml:space="preserve"> </w:t>
            </w:r>
            <w:r>
              <w:rPr>
                <w:sz w:val="20"/>
              </w:rPr>
              <w:t>OSPAR</w:t>
            </w:r>
            <w:r>
              <w:rPr>
                <w:spacing w:val="-5"/>
                <w:sz w:val="20"/>
              </w:rPr>
              <w:t xml:space="preserve"> </w:t>
            </w:r>
            <w:r>
              <w:rPr>
                <w:sz w:val="20"/>
              </w:rPr>
              <w:t>List:</w:t>
            </w:r>
            <w:r>
              <w:rPr>
                <w:spacing w:val="-6"/>
                <w:sz w:val="20"/>
              </w:rPr>
              <w:t xml:space="preserve"> </w:t>
            </w:r>
            <w:hyperlink r:id="rId13">
              <w:r>
                <w:rPr>
                  <w:color w:val="0000FF"/>
                  <w:spacing w:val="-4"/>
                  <w:sz w:val="20"/>
                  <w:u w:val="single" w:color="0000FF"/>
                </w:rPr>
                <w:t>2003.</w:t>
              </w:r>
            </w:hyperlink>
          </w:p>
          <w:p w14:paraId="34E42215" w14:textId="77777777" w:rsidR="005042A3" w:rsidRDefault="00982504">
            <w:pPr>
              <w:pStyle w:val="TableParagraph"/>
              <w:numPr>
                <w:ilvl w:val="0"/>
                <w:numId w:val="1"/>
              </w:numPr>
              <w:tabs>
                <w:tab w:val="left" w:pos="830"/>
              </w:tabs>
              <w:spacing w:before="120"/>
              <w:ind w:right="91"/>
              <w:jc w:val="both"/>
              <w:rPr>
                <w:sz w:val="20"/>
              </w:rPr>
            </w:pPr>
            <w:r>
              <w:rPr>
                <w:sz w:val="20"/>
              </w:rPr>
              <w:t>The original evaluation of bluefin tuna against the Texel-Faial criteria referred to decline and sensitivity criteria, with information also provided on threat.</w:t>
            </w:r>
          </w:p>
          <w:p w14:paraId="2EFC5E0A" w14:textId="77777777" w:rsidR="005042A3" w:rsidRDefault="00982504">
            <w:pPr>
              <w:pStyle w:val="TableParagraph"/>
              <w:numPr>
                <w:ilvl w:val="0"/>
                <w:numId w:val="1"/>
              </w:numPr>
              <w:tabs>
                <w:tab w:val="left" w:pos="829"/>
              </w:tabs>
              <w:spacing w:before="120"/>
              <w:ind w:left="829" w:right="92"/>
              <w:jc w:val="both"/>
              <w:rPr>
                <w:sz w:val="20"/>
              </w:rPr>
            </w:pPr>
            <w:r>
              <w:rPr>
                <w:sz w:val="20"/>
              </w:rPr>
              <w:t>OSPAR regions II−V constitute a key feeding ground for Atlantic bluefin tuna, which distributes throughout the Atlantic and adjacent seas.</w:t>
            </w:r>
          </w:p>
          <w:p w14:paraId="22B07A61" w14:textId="77777777" w:rsidR="005042A3" w:rsidRDefault="00982504">
            <w:pPr>
              <w:pStyle w:val="TableParagraph"/>
              <w:numPr>
                <w:ilvl w:val="0"/>
                <w:numId w:val="1"/>
              </w:numPr>
              <w:tabs>
                <w:tab w:val="left" w:pos="829"/>
              </w:tabs>
              <w:spacing w:before="120"/>
              <w:ind w:left="829" w:right="95"/>
              <w:jc w:val="both"/>
              <w:rPr>
                <w:sz w:val="20"/>
              </w:rPr>
            </w:pPr>
            <w:r>
              <w:rPr>
                <w:sz w:val="20"/>
              </w:rPr>
              <w:t>Decline:</w:t>
            </w:r>
            <w:r>
              <w:rPr>
                <w:spacing w:val="-6"/>
                <w:sz w:val="20"/>
              </w:rPr>
              <w:t xml:space="preserve"> </w:t>
            </w:r>
            <w:r>
              <w:rPr>
                <w:sz w:val="20"/>
              </w:rPr>
              <w:t>the</w:t>
            </w:r>
            <w:r>
              <w:rPr>
                <w:spacing w:val="-4"/>
                <w:sz w:val="20"/>
              </w:rPr>
              <w:t xml:space="preserve"> </w:t>
            </w:r>
            <w:r>
              <w:rPr>
                <w:sz w:val="20"/>
              </w:rPr>
              <w:t>eastern</w:t>
            </w:r>
            <w:r>
              <w:rPr>
                <w:spacing w:val="-5"/>
                <w:sz w:val="20"/>
              </w:rPr>
              <w:t xml:space="preserve"> </w:t>
            </w:r>
            <w:r>
              <w:rPr>
                <w:sz w:val="20"/>
              </w:rPr>
              <w:t>Atlantic</w:t>
            </w:r>
            <w:r>
              <w:rPr>
                <w:spacing w:val="-6"/>
                <w:sz w:val="20"/>
              </w:rPr>
              <w:t xml:space="preserve"> </w:t>
            </w:r>
            <w:r>
              <w:rPr>
                <w:sz w:val="20"/>
              </w:rPr>
              <w:t>stock</w:t>
            </w:r>
            <w:r>
              <w:rPr>
                <w:spacing w:val="-5"/>
                <w:sz w:val="20"/>
              </w:rPr>
              <w:t xml:space="preserve"> </w:t>
            </w:r>
            <w:r>
              <w:rPr>
                <w:sz w:val="20"/>
              </w:rPr>
              <w:t>was</w:t>
            </w:r>
            <w:r>
              <w:rPr>
                <w:spacing w:val="-4"/>
                <w:sz w:val="20"/>
              </w:rPr>
              <w:t xml:space="preserve"> </w:t>
            </w:r>
            <w:r>
              <w:rPr>
                <w:sz w:val="20"/>
              </w:rPr>
              <w:t>evaluated</w:t>
            </w:r>
            <w:r>
              <w:rPr>
                <w:spacing w:val="-5"/>
                <w:sz w:val="20"/>
              </w:rPr>
              <w:t xml:space="preserve"> </w:t>
            </w:r>
            <w:r>
              <w:rPr>
                <w:sz w:val="20"/>
              </w:rPr>
              <w:t>as</w:t>
            </w:r>
            <w:r>
              <w:rPr>
                <w:spacing w:val="-4"/>
                <w:sz w:val="20"/>
              </w:rPr>
              <w:t xml:space="preserve"> </w:t>
            </w:r>
            <w:r>
              <w:rPr>
                <w:sz w:val="20"/>
              </w:rPr>
              <w:t>significantly</w:t>
            </w:r>
            <w:r>
              <w:rPr>
                <w:spacing w:val="-4"/>
                <w:sz w:val="20"/>
              </w:rPr>
              <w:t xml:space="preserve"> </w:t>
            </w:r>
            <w:r>
              <w:rPr>
                <w:sz w:val="20"/>
              </w:rPr>
              <w:t>declined</w:t>
            </w:r>
            <w:r>
              <w:rPr>
                <w:spacing w:val="-5"/>
                <w:sz w:val="20"/>
              </w:rPr>
              <w:t xml:space="preserve"> </w:t>
            </w:r>
            <w:r>
              <w:rPr>
                <w:sz w:val="20"/>
              </w:rPr>
              <w:t>at</w:t>
            </w:r>
            <w:r>
              <w:rPr>
                <w:spacing w:val="-5"/>
                <w:sz w:val="20"/>
              </w:rPr>
              <w:t xml:space="preserve"> </w:t>
            </w:r>
            <w:r>
              <w:rPr>
                <w:sz w:val="20"/>
              </w:rPr>
              <w:t>the</w:t>
            </w:r>
            <w:r>
              <w:rPr>
                <w:spacing w:val="-6"/>
                <w:sz w:val="20"/>
              </w:rPr>
              <w:t xml:space="preserve"> </w:t>
            </w:r>
            <w:r>
              <w:rPr>
                <w:sz w:val="20"/>
              </w:rPr>
              <w:t>time of listing.</w:t>
            </w:r>
          </w:p>
          <w:p w14:paraId="67539F6C" w14:textId="77777777" w:rsidR="005042A3" w:rsidRDefault="00982504">
            <w:pPr>
              <w:pStyle w:val="TableParagraph"/>
              <w:numPr>
                <w:ilvl w:val="0"/>
                <w:numId w:val="1"/>
              </w:numPr>
              <w:tabs>
                <w:tab w:val="left" w:pos="829"/>
              </w:tabs>
              <w:spacing w:before="121"/>
              <w:ind w:left="829" w:right="92"/>
              <w:jc w:val="both"/>
              <w:rPr>
                <w:sz w:val="20"/>
              </w:rPr>
            </w:pPr>
            <w:r>
              <w:rPr>
                <w:sz w:val="20"/>
              </w:rPr>
              <w:t>Sensitivity: the species was considered sensitive at the time of listing due to its relatively slow growth, long life span and late age at maturity.</w:t>
            </w:r>
          </w:p>
          <w:p w14:paraId="0E17D751" w14:textId="77777777" w:rsidR="005042A3" w:rsidRDefault="00982504">
            <w:pPr>
              <w:pStyle w:val="TableParagraph"/>
              <w:numPr>
                <w:ilvl w:val="0"/>
                <w:numId w:val="1"/>
              </w:numPr>
              <w:tabs>
                <w:tab w:val="left" w:pos="830"/>
              </w:tabs>
              <w:spacing w:before="120"/>
              <w:ind w:right="90"/>
              <w:jc w:val="both"/>
              <w:rPr>
                <w:sz w:val="20"/>
              </w:rPr>
            </w:pPr>
            <w:r>
              <w:rPr>
                <w:sz w:val="20"/>
              </w:rPr>
              <w:t>Anthropogenic pressures and biological factors: fishing was the most important anthropogenic pressure and fishery data was uncertain, affecting management advice and management action.</w:t>
            </w:r>
          </w:p>
          <w:p w14:paraId="43ABF32D" w14:textId="77777777" w:rsidR="005042A3" w:rsidRDefault="00982504">
            <w:pPr>
              <w:pStyle w:val="TableParagraph"/>
              <w:numPr>
                <w:ilvl w:val="0"/>
                <w:numId w:val="1"/>
              </w:numPr>
              <w:tabs>
                <w:tab w:val="left" w:pos="821"/>
              </w:tabs>
              <w:spacing w:before="118"/>
              <w:ind w:left="821" w:hanging="354"/>
              <w:jc w:val="both"/>
              <w:rPr>
                <w:sz w:val="20"/>
              </w:rPr>
            </w:pPr>
            <w:r>
              <w:rPr>
                <w:sz w:val="20"/>
              </w:rPr>
              <w:t>Last</w:t>
            </w:r>
            <w:r>
              <w:rPr>
                <w:spacing w:val="-7"/>
                <w:sz w:val="20"/>
              </w:rPr>
              <w:t xml:space="preserve"> </w:t>
            </w:r>
            <w:r>
              <w:rPr>
                <w:sz w:val="20"/>
              </w:rPr>
              <w:t>status</w:t>
            </w:r>
            <w:r>
              <w:rPr>
                <w:spacing w:val="-6"/>
                <w:sz w:val="20"/>
              </w:rPr>
              <w:t xml:space="preserve"> </w:t>
            </w:r>
            <w:r>
              <w:rPr>
                <w:sz w:val="20"/>
              </w:rPr>
              <w:t>assessment:</w:t>
            </w:r>
            <w:r>
              <w:rPr>
                <w:spacing w:val="-7"/>
                <w:sz w:val="20"/>
              </w:rPr>
              <w:t xml:space="preserve"> </w:t>
            </w:r>
            <w:r>
              <w:rPr>
                <w:sz w:val="20"/>
              </w:rPr>
              <w:t>2003.</w:t>
            </w:r>
            <w:r>
              <w:rPr>
                <w:spacing w:val="-6"/>
                <w:sz w:val="20"/>
              </w:rPr>
              <w:t xml:space="preserve"> </w:t>
            </w:r>
            <w:r>
              <w:rPr>
                <w:sz w:val="20"/>
              </w:rPr>
              <w:t>A</w:t>
            </w:r>
            <w:r>
              <w:rPr>
                <w:spacing w:val="-7"/>
                <w:sz w:val="20"/>
              </w:rPr>
              <w:t xml:space="preserve"> </w:t>
            </w:r>
            <w:r>
              <w:rPr>
                <w:sz w:val="20"/>
              </w:rPr>
              <w:t>background</w:t>
            </w:r>
            <w:r>
              <w:rPr>
                <w:spacing w:val="-6"/>
                <w:sz w:val="20"/>
              </w:rPr>
              <w:t xml:space="preserve"> </w:t>
            </w:r>
            <w:r>
              <w:rPr>
                <w:sz w:val="20"/>
              </w:rPr>
              <w:t>document</w:t>
            </w:r>
            <w:r>
              <w:rPr>
                <w:spacing w:val="-6"/>
                <w:sz w:val="20"/>
              </w:rPr>
              <w:t xml:space="preserve"> </w:t>
            </w:r>
            <w:r>
              <w:rPr>
                <w:sz w:val="20"/>
              </w:rPr>
              <w:t>was</w:t>
            </w:r>
            <w:r>
              <w:rPr>
                <w:spacing w:val="-6"/>
                <w:sz w:val="20"/>
              </w:rPr>
              <w:t xml:space="preserve"> </w:t>
            </w:r>
            <w:r>
              <w:rPr>
                <w:sz w:val="20"/>
              </w:rPr>
              <w:t>published</w:t>
            </w:r>
            <w:r>
              <w:rPr>
                <w:spacing w:val="-5"/>
                <w:sz w:val="20"/>
              </w:rPr>
              <w:t xml:space="preserve"> </w:t>
            </w:r>
            <w:r>
              <w:rPr>
                <w:sz w:val="20"/>
              </w:rPr>
              <w:t>in</w:t>
            </w:r>
            <w:r>
              <w:rPr>
                <w:spacing w:val="-6"/>
                <w:sz w:val="20"/>
              </w:rPr>
              <w:t xml:space="preserve"> </w:t>
            </w:r>
            <w:hyperlink r:id="rId14">
              <w:r>
                <w:rPr>
                  <w:color w:val="0000FF"/>
                  <w:spacing w:val="-2"/>
                  <w:sz w:val="20"/>
                  <w:u w:val="single" w:color="0000FF"/>
                </w:rPr>
                <w:t>2014</w:t>
              </w:r>
              <w:r>
                <w:rPr>
                  <w:spacing w:val="-2"/>
                  <w:sz w:val="20"/>
                </w:rPr>
                <w:t>.</w:t>
              </w:r>
            </w:hyperlink>
          </w:p>
        </w:tc>
      </w:tr>
      <w:tr w:rsidR="005042A3" w14:paraId="653BCA0C" w14:textId="77777777">
        <w:trPr>
          <w:trHeight w:val="2193"/>
        </w:trPr>
        <w:tc>
          <w:tcPr>
            <w:tcW w:w="2472" w:type="dxa"/>
          </w:tcPr>
          <w:p w14:paraId="3A730E63" w14:textId="77777777" w:rsidR="005042A3" w:rsidRDefault="005042A3">
            <w:pPr>
              <w:pStyle w:val="TableParagraph"/>
              <w:rPr>
                <w:b/>
                <w:sz w:val="20"/>
              </w:rPr>
            </w:pPr>
          </w:p>
          <w:p w14:paraId="6AFBC08E" w14:textId="77777777" w:rsidR="005042A3" w:rsidRDefault="005042A3">
            <w:pPr>
              <w:pStyle w:val="TableParagraph"/>
              <w:rPr>
                <w:b/>
                <w:sz w:val="20"/>
              </w:rPr>
            </w:pPr>
          </w:p>
          <w:p w14:paraId="57170A8F" w14:textId="77777777" w:rsidR="005042A3" w:rsidRDefault="005042A3">
            <w:pPr>
              <w:pStyle w:val="TableParagraph"/>
              <w:spacing w:before="180"/>
              <w:rPr>
                <w:b/>
                <w:sz w:val="20"/>
              </w:rPr>
            </w:pPr>
          </w:p>
          <w:p w14:paraId="29FCFD45" w14:textId="77777777" w:rsidR="005042A3" w:rsidRDefault="00982504">
            <w:pPr>
              <w:pStyle w:val="TableParagraph"/>
              <w:spacing w:before="1"/>
              <w:ind w:left="107" w:right="764"/>
              <w:rPr>
                <w:sz w:val="20"/>
              </w:rPr>
            </w:pPr>
            <w:r>
              <w:rPr>
                <w:sz w:val="20"/>
              </w:rPr>
              <w:t>Geographical</w:t>
            </w:r>
            <w:r>
              <w:rPr>
                <w:spacing w:val="-12"/>
                <w:sz w:val="20"/>
              </w:rPr>
              <w:t xml:space="preserve"> </w:t>
            </w:r>
            <w:r>
              <w:rPr>
                <w:sz w:val="20"/>
              </w:rPr>
              <w:t>range and distribution</w:t>
            </w:r>
          </w:p>
        </w:tc>
        <w:tc>
          <w:tcPr>
            <w:tcW w:w="7814" w:type="dxa"/>
          </w:tcPr>
          <w:p w14:paraId="698D1A6D" w14:textId="4F7EC747" w:rsidR="005042A3" w:rsidRDefault="00982504">
            <w:pPr>
              <w:pStyle w:val="TableParagraph"/>
              <w:spacing w:before="121"/>
              <w:ind w:left="110" w:right="89"/>
              <w:jc w:val="both"/>
              <w:rPr>
                <w:sz w:val="20"/>
              </w:rPr>
            </w:pPr>
            <w:r>
              <w:rPr>
                <w:sz w:val="20"/>
              </w:rPr>
              <w:t>Atlantic</w:t>
            </w:r>
            <w:r>
              <w:rPr>
                <w:spacing w:val="-3"/>
                <w:sz w:val="20"/>
              </w:rPr>
              <w:t xml:space="preserve"> </w:t>
            </w:r>
            <w:r>
              <w:rPr>
                <w:sz w:val="20"/>
              </w:rPr>
              <w:t>bluefin</w:t>
            </w:r>
            <w:r>
              <w:rPr>
                <w:spacing w:val="-3"/>
                <w:sz w:val="20"/>
              </w:rPr>
              <w:t xml:space="preserve"> </w:t>
            </w:r>
            <w:r>
              <w:rPr>
                <w:sz w:val="20"/>
              </w:rPr>
              <w:t>tuna</w:t>
            </w:r>
            <w:r>
              <w:rPr>
                <w:spacing w:val="-5"/>
                <w:sz w:val="20"/>
              </w:rPr>
              <w:t xml:space="preserve"> </w:t>
            </w:r>
            <w:r>
              <w:rPr>
                <w:sz w:val="20"/>
              </w:rPr>
              <w:t>are</w:t>
            </w:r>
            <w:r>
              <w:rPr>
                <w:spacing w:val="-4"/>
                <w:sz w:val="20"/>
              </w:rPr>
              <w:t xml:space="preserve"> </w:t>
            </w:r>
            <w:r>
              <w:rPr>
                <w:sz w:val="20"/>
              </w:rPr>
              <w:t>widely</w:t>
            </w:r>
            <w:r>
              <w:rPr>
                <w:spacing w:val="-3"/>
                <w:sz w:val="20"/>
              </w:rPr>
              <w:t xml:space="preserve"> </w:t>
            </w:r>
            <w:r>
              <w:rPr>
                <w:sz w:val="20"/>
              </w:rPr>
              <w:t>distributed</w:t>
            </w:r>
            <w:r>
              <w:rPr>
                <w:spacing w:val="-3"/>
                <w:sz w:val="20"/>
              </w:rPr>
              <w:t xml:space="preserve"> </w:t>
            </w:r>
            <w:r>
              <w:rPr>
                <w:sz w:val="20"/>
              </w:rPr>
              <w:t>mostly</w:t>
            </w:r>
            <w:r>
              <w:rPr>
                <w:spacing w:val="-4"/>
                <w:sz w:val="20"/>
              </w:rPr>
              <w:t xml:space="preserve"> </w:t>
            </w:r>
            <w:r>
              <w:rPr>
                <w:sz w:val="20"/>
              </w:rPr>
              <w:t>across</w:t>
            </w:r>
            <w:r>
              <w:rPr>
                <w:spacing w:val="-4"/>
                <w:sz w:val="20"/>
              </w:rPr>
              <w:t xml:space="preserve"> </w:t>
            </w:r>
            <w:r>
              <w:rPr>
                <w:sz w:val="20"/>
              </w:rPr>
              <w:t>the</w:t>
            </w:r>
            <w:r>
              <w:rPr>
                <w:spacing w:val="-4"/>
                <w:sz w:val="20"/>
              </w:rPr>
              <w:t xml:space="preserve"> </w:t>
            </w:r>
            <w:r>
              <w:rPr>
                <w:sz w:val="20"/>
              </w:rPr>
              <w:t>north</w:t>
            </w:r>
            <w:r>
              <w:rPr>
                <w:spacing w:val="-3"/>
                <w:sz w:val="20"/>
              </w:rPr>
              <w:t xml:space="preserve"> </w:t>
            </w:r>
            <w:r>
              <w:rPr>
                <w:sz w:val="20"/>
              </w:rPr>
              <w:t>Atlantic</w:t>
            </w:r>
            <w:r>
              <w:rPr>
                <w:spacing w:val="-6"/>
                <w:sz w:val="20"/>
              </w:rPr>
              <w:t xml:space="preserve"> </w:t>
            </w:r>
            <w:r>
              <w:rPr>
                <w:sz w:val="20"/>
              </w:rPr>
              <w:t>and</w:t>
            </w:r>
            <w:r>
              <w:rPr>
                <w:spacing w:val="-5"/>
                <w:sz w:val="20"/>
              </w:rPr>
              <w:t xml:space="preserve"> </w:t>
            </w:r>
            <w:r>
              <w:rPr>
                <w:sz w:val="20"/>
              </w:rPr>
              <w:t>adjacent</w:t>
            </w:r>
            <w:r>
              <w:rPr>
                <w:spacing w:val="-5"/>
                <w:sz w:val="20"/>
              </w:rPr>
              <w:t xml:space="preserve"> </w:t>
            </w:r>
            <w:r>
              <w:rPr>
                <w:sz w:val="20"/>
              </w:rPr>
              <w:t>seas with two populations, a larger</w:t>
            </w:r>
            <w:r>
              <w:rPr>
                <w:spacing w:val="-1"/>
                <w:sz w:val="20"/>
              </w:rPr>
              <w:t xml:space="preserve"> </w:t>
            </w:r>
            <w:r>
              <w:rPr>
                <w:sz w:val="20"/>
              </w:rPr>
              <w:t>eastern population, spawning</w:t>
            </w:r>
            <w:r>
              <w:rPr>
                <w:spacing w:val="-1"/>
                <w:sz w:val="20"/>
              </w:rPr>
              <w:t xml:space="preserve"> </w:t>
            </w:r>
            <w:r>
              <w:rPr>
                <w:sz w:val="20"/>
              </w:rPr>
              <w:t>in the</w:t>
            </w:r>
            <w:r>
              <w:rPr>
                <w:spacing w:val="-1"/>
                <w:sz w:val="20"/>
              </w:rPr>
              <w:t xml:space="preserve"> </w:t>
            </w:r>
            <w:r>
              <w:rPr>
                <w:sz w:val="20"/>
              </w:rPr>
              <w:t xml:space="preserve">Mediterranean Sea, and a smaller western population, spawning largely in the Gulf of Mexico. Atlantic bluefin tuna are most abundant in the Mediterranean and temperate waters of the North Atlantic. Recently they </w:t>
            </w:r>
            <w:proofErr w:type="spellStart"/>
            <w:r>
              <w:rPr>
                <w:sz w:val="20"/>
              </w:rPr>
              <w:t>recolonised</w:t>
            </w:r>
            <w:proofErr w:type="spellEnd"/>
            <w:r>
              <w:rPr>
                <w:sz w:val="20"/>
              </w:rPr>
              <w:t xml:space="preserve"> Nordic waters (where they had been very rare</w:t>
            </w:r>
            <w:r>
              <w:rPr>
                <w:spacing w:val="-1"/>
                <w:sz w:val="20"/>
              </w:rPr>
              <w:t xml:space="preserve"> </w:t>
            </w:r>
            <w:r>
              <w:rPr>
                <w:sz w:val="20"/>
              </w:rPr>
              <w:t>for</w:t>
            </w:r>
            <w:r>
              <w:rPr>
                <w:spacing w:val="-1"/>
                <w:sz w:val="20"/>
              </w:rPr>
              <w:t xml:space="preserve"> </w:t>
            </w:r>
            <w:r>
              <w:rPr>
                <w:sz w:val="20"/>
              </w:rPr>
              <w:t>at least 50</w:t>
            </w:r>
            <w:r>
              <w:rPr>
                <w:spacing w:val="-1"/>
                <w:sz w:val="20"/>
              </w:rPr>
              <w:t xml:space="preserve"> </w:t>
            </w:r>
            <w:r>
              <w:rPr>
                <w:sz w:val="20"/>
              </w:rPr>
              <w:t>years)</w:t>
            </w:r>
            <w:r>
              <w:rPr>
                <w:spacing w:val="-1"/>
                <w:sz w:val="20"/>
              </w:rPr>
              <w:t xml:space="preserve"> </w:t>
            </w:r>
            <w:r>
              <w:rPr>
                <w:sz w:val="20"/>
              </w:rPr>
              <w:t>and this may</w:t>
            </w:r>
            <w:r>
              <w:rPr>
                <w:spacing w:val="-10"/>
                <w:sz w:val="20"/>
              </w:rPr>
              <w:t xml:space="preserve"> </w:t>
            </w:r>
            <w:r>
              <w:rPr>
                <w:sz w:val="20"/>
              </w:rPr>
              <w:t>be</w:t>
            </w:r>
            <w:r>
              <w:rPr>
                <w:spacing w:val="-11"/>
                <w:sz w:val="20"/>
              </w:rPr>
              <w:t xml:space="preserve"> </w:t>
            </w:r>
            <w:r>
              <w:rPr>
                <w:sz w:val="20"/>
              </w:rPr>
              <w:t>due</w:t>
            </w:r>
            <w:r>
              <w:rPr>
                <w:spacing w:val="-11"/>
                <w:sz w:val="20"/>
              </w:rPr>
              <w:t xml:space="preserve"> </w:t>
            </w:r>
            <w:r>
              <w:rPr>
                <w:sz w:val="20"/>
              </w:rPr>
              <w:t>to</w:t>
            </w:r>
            <w:r>
              <w:rPr>
                <w:spacing w:val="-10"/>
                <w:sz w:val="20"/>
              </w:rPr>
              <w:t xml:space="preserve"> </w:t>
            </w:r>
            <w:r>
              <w:rPr>
                <w:sz w:val="20"/>
              </w:rPr>
              <w:t>the</w:t>
            </w:r>
            <w:r>
              <w:rPr>
                <w:spacing w:val="-11"/>
                <w:sz w:val="20"/>
              </w:rPr>
              <w:t xml:space="preserve"> </w:t>
            </w:r>
            <w:r>
              <w:rPr>
                <w:sz w:val="20"/>
              </w:rPr>
              <w:t>increased</w:t>
            </w:r>
            <w:r>
              <w:rPr>
                <w:spacing w:val="-9"/>
                <w:sz w:val="20"/>
              </w:rPr>
              <w:t xml:space="preserve"> </w:t>
            </w:r>
            <w:r>
              <w:rPr>
                <w:sz w:val="20"/>
              </w:rPr>
              <w:t>population</w:t>
            </w:r>
            <w:r>
              <w:rPr>
                <w:spacing w:val="-9"/>
                <w:sz w:val="20"/>
              </w:rPr>
              <w:t xml:space="preserve"> </w:t>
            </w:r>
            <w:r>
              <w:rPr>
                <w:sz w:val="20"/>
              </w:rPr>
              <w:t>size,</w:t>
            </w:r>
            <w:r>
              <w:rPr>
                <w:spacing w:val="-10"/>
                <w:sz w:val="20"/>
              </w:rPr>
              <w:t xml:space="preserve"> </w:t>
            </w:r>
            <w:r>
              <w:rPr>
                <w:sz w:val="20"/>
              </w:rPr>
              <w:t>environmental</w:t>
            </w:r>
            <w:r>
              <w:rPr>
                <w:spacing w:val="-12"/>
                <w:sz w:val="20"/>
              </w:rPr>
              <w:t xml:space="preserve"> </w:t>
            </w:r>
            <w:r>
              <w:rPr>
                <w:sz w:val="20"/>
              </w:rPr>
              <w:t>change,</w:t>
            </w:r>
            <w:r>
              <w:rPr>
                <w:spacing w:val="-9"/>
                <w:sz w:val="20"/>
              </w:rPr>
              <w:t xml:space="preserve"> </w:t>
            </w:r>
            <w:r>
              <w:rPr>
                <w:sz w:val="20"/>
              </w:rPr>
              <w:t>or</w:t>
            </w:r>
            <w:r>
              <w:rPr>
                <w:spacing w:val="-10"/>
                <w:sz w:val="20"/>
              </w:rPr>
              <w:t xml:space="preserve"> </w:t>
            </w:r>
            <w:r>
              <w:rPr>
                <w:sz w:val="20"/>
              </w:rPr>
              <w:t>both</w:t>
            </w:r>
            <w:r>
              <w:rPr>
                <w:spacing w:val="-9"/>
                <w:sz w:val="20"/>
              </w:rPr>
              <w:t xml:space="preserve"> </w:t>
            </w:r>
            <w:r>
              <w:rPr>
                <w:sz w:val="20"/>
              </w:rPr>
              <w:t>(</w:t>
            </w:r>
            <w:proofErr w:type="spellStart"/>
            <w:r>
              <w:rPr>
                <w:sz w:val="20"/>
              </w:rPr>
              <w:t>MacKenzie</w:t>
            </w:r>
            <w:proofErr w:type="spellEnd"/>
            <w:r>
              <w:rPr>
                <w:spacing w:val="-11"/>
                <w:sz w:val="20"/>
              </w:rPr>
              <w:t xml:space="preserve"> </w:t>
            </w:r>
            <w:r>
              <w:rPr>
                <w:i/>
                <w:sz w:val="20"/>
              </w:rPr>
              <w:t>et</w:t>
            </w:r>
            <w:r>
              <w:rPr>
                <w:i/>
                <w:spacing w:val="-10"/>
                <w:sz w:val="20"/>
              </w:rPr>
              <w:t xml:space="preserve"> </w:t>
            </w:r>
            <w:r>
              <w:rPr>
                <w:i/>
                <w:sz w:val="20"/>
              </w:rPr>
              <w:t>al</w:t>
            </w:r>
            <w:r>
              <w:rPr>
                <w:sz w:val="20"/>
              </w:rPr>
              <w:t>., 2014;</w:t>
            </w:r>
            <w:r>
              <w:rPr>
                <w:spacing w:val="-8"/>
                <w:sz w:val="20"/>
              </w:rPr>
              <w:t xml:space="preserve"> </w:t>
            </w:r>
            <w:proofErr w:type="spellStart"/>
            <w:r>
              <w:rPr>
                <w:sz w:val="20"/>
              </w:rPr>
              <w:t>Failletaz</w:t>
            </w:r>
            <w:proofErr w:type="spellEnd"/>
            <w:r>
              <w:rPr>
                <w:spacing w:val="-7"/>
                <w:sz w:val="20"/>
              </w:rPr>
              <w:t xml:space="preserve"> </w:t>
            </w:r>
            <w:r>
              <w:rPr>
                <w:i/>
                <w:sz w:val="20"/>
              </w:rPr>
              <w:t>et</w:t>
            </w:r>
            <w:r>
              <w:rPr>
                <w:i/>
                <w:spacing w:val="-7"/>
                <w:sz w:val="20"/>
              </w:rPr>
              <w:t xml:space="preserve"> </w:t>
            </w:r>
            <w:r>
              <w:rPr>
                <w:i/>
                <w:sz w:val="20"/>
              </w:rPr>
              <w:t>al.,</w:t>
            </w:r>
            <w:r>
              <w:rPr>
                <w:i/>
                <w:spacing w:val="-8"/>
                <w:sz w:val="20"/>
              </w:rPr>
              <w:t xml:space="preserve"> </w:t>
            </w:r>
            <w:r>
              <w:rPr>
                <w:sz w:val="20"/>
              </w:rPr>
              <w:t>2019;</w:t>
            </w:r>
            <w:r>
              <w:rPr>
                <w:spacing w:val="-8"/>
                <w:sz w:val="20"/>
              </w:rPr>
              <w:t xml:space="preserve"> </w:t>
            </w:r>
            <w:r>
              <w:rPr>
                <w:sz w:val="20"/>
              </w:rPr>
              <w:t>Nottestad</w:t>
            </w:r>
            <w:r>
              <w:rPr>
                <w:spacing w:val="-7"/>
                <w:sz w:val="20"/>
              </w:rPr>
              <w:t xml:space="preserve"> </w:t>
            </w:r>
            <w:r>
              <w:rPr>
                <w:i/>
                <w:sz w:val="20"/>
              </w:rPr>
              <w:t>et</w:t>
            </w:r>
            <w:r>
              <w:rPr>
                <w:i/>
                <w:spacing w:val="-7"/>
                <w:sz w:val="20"/>
              </w:rPr>
              <w:t xml:space="preserve"> </w:t>
            </w:r>
            <w:r>
              <w:rPr>
                <w:i/>
                <w:sz w:val="20"/>
              </w:rPr>
              <w:t>al</w:t>
            </w:r>
            <w:r>
              <w:rPr>
                <w:sz w:val="20"/>
              </w:rPr>
              <w:t>.,</w:t>
            </w:r>
            <w:r>
              <w:rPr>
                <w:spacing w:val="-10"/>
                <w:sz w:val="20"/>
              </w:rPr>
              <w:t xml:space="preserve"> </w:t>
            </w:r>
            <w:r>
              <w:rPr>
                <w:sz w:val="20"/>
              </w:rPr>
              <w:t>2020;</w:t>
            </w:r>
            <w:r>
              <w:rPr>
                <w:spacing w:val="-8"/>
                <w:sz w:val="20"/>
              </w:rPr>
              <w:t xml:space="preserve"> </w:t>
            </w:r>
            <w:r>
              <w:rPr>
                <w:sz w:val="20"/>
              </w:rPr>
              <w:t>Aarestrup</w:t>
            </w:r>
            <w:r>
              <w:rPr>
                <w:spacing w:val="-7"/>
                <w:sz w:val="20"/>
              </w:rPr>
              <w:t xml:space="preserve"> </w:t>
            </w:r>
            <w:r>
              <w:rPr>
                <w:i/>
                <w:sz w:val="20"/>
              </w:rPr>
              <w:t>et</w:t>
            </w:r>
            <w:r>
              <w:rPr>
                <w:i/>
                <w:spacing w:val="-7"/>
                <w:sz w:val="20"/>
              </w:rPr>
              <w:t xml:space="preserve"> </w:t>
            </w:r>
            <w:r>
              <w:rPr>
                <w:i/>
                <w:sz w:val="20"/>
              </w:rPr>
              <w:t>al</w:t>
            </w:r>
            <w:r>
              <w:rPr>
                <w:sz w:val="20"/>
              </w:rPr>
              <w:t>.,</w:t>
            </w:r>
            <w:r>
              <w:rPr>
                <w:spacing w:val="-7"/>
                <w:sz w:val="20"/>
              </w:rPr>
              <w:t xml:space="preserve"> </w:t>
            </w:r>
            <w:r>
              <w:rPr>
                <w:sz w:val="20"/>
              </w:rPr>
              <w:t>2022).</w:t>
            </w:r>
            <w:r>
              <w:rPr>
                <w:spacing w:val="-8"/>
                <w:sz w:val="20"/>
              </w:rPr>
              <w:t xml:space="preserve"> </w:t>
            </w:r>
            <w:r>
              <w:rPr>
                <w:sz w:val="20"/>
              </w:rPr>
              <w:t>The</w:t>
            </w:r>
            <w:r>
              <w:rPr>
                <w:spacing w:val="-9"/>
                <w:sz w:val="20"/>
              </w:rPr>
              <w:t xml:space="preserve"> </w:t>
            </w:r>
            <w:r>
              <w:rPr>
                <w:sz w:val="20"/>
              </w:rPr>
              <w:t>two</w:t>
            </w:r>
            <w:r>
              <w:rPr>
                <w:spacing w:val="-7"/>
                <w:sz w:val="20"/>
              </w:rPr>
              <w:t xml:space="preserve"> </w:t>
            </w:r>
            <w:r>
              <w:rPr>
                <w:sz w:val="20"/>
              </w:rPr>
              <w:t>populations mix when not spawning, mostly on the western side of the Atlantic.</w:t>
            </w:r>
          </w:p>
        </w:tc>
      </w:tr>
      <w:tr w:rsidR="005042A3" w14:paraId="327F2548" w14:textId="77777777">
        <w:trPr>
          <w:trHeight w:val="1461"/>
        </w:trPr>
        <w:tc>
          <w:tcPr>
            <w:tcW w:w="2472" w:type="dxa"/>
          </w:tcPr>
          <w:p w14:paraId="41C31144" w14:textId="77777777" w:rsidR="005042A3" w:rsidRDefault="005042A3">
            <w:pPr>
              <w:pStyle w:val="TableParagraph"/>
              <w:spacing w:before="239"/>
              <w:rPr>
                <w:b/>
                <w:sz w:val="20"/>
              </w:rPr>
            </w:pPr>
          </w:p>
          <w:p w14:paraId="737A2E8C" w14:textId="77777777" w:rsidR="005042A3" w:rsidRDefault="00982504">
            <w:pPr>
              <w:pStyle w:val="TableParagraph"/>
              <w:ind w:left="107" w:right="764"/>
              <w:rPr>
                <w:sz w:val="20"/>
              </w:rPr>
            </w:pPr>
            <w:r>
              <w:rPr>
                <w:spacing w:val="-2"/>
                <w:sz w:val="20"/>
              </w:rPr>
              <w:t>Population/ abundance</w:t>
            </w:r>
          </w:p>
        </w:tc>
        <w:tc>
          <w:tcPr>
            <w:tcW w:w="7814" w:type="dxa"/>
          </w:tcPr>
          <w:p w14:paraId="3158B0B0" w14:textId="4DAFDB83" w:rsidR="005042A3" w:rsidRDefault="00982504">
            <w:pPr>
              <w:pStyle w:val="TableParagraph"/>
              <w:spacing w:before="121"/>
              <w:ind w:left="110" w:right="90" w:hanging="1"/>
              <w:jc w:val="both"/>
              <w:rPr>
                <w:sz w:val="20"/>
              </w:rPr>
            </w:pPr>
            <w:r>
              <w:rPr>
                <w:sz w:val="20"/>
              </w:rPr>
              <w:t xml:space="preserve">Most bluefin tuna in OSPAR regions belong to the eastern population (Fraile </w:t>
            </w:r>
            <w:r>
              <w:rPr>
                <w:i/>
                <w:sz w:val="20"/>
              </w:rPr>
              <w:t>et al</w:t>
            </w:r>
            <w:r>
              <w:rPr>
                <w:sz w:val="20"/>
              </w:rPr>
              <w:t>., 2015; Rodriguez-Ezpeleta</w:t>
            </w:r>
            <w:r>
              <w:rPr>
                <w:spacing w:val="-12"/>
                <w:sz w:val="20"/>
              </w:rPr>
              <w:t xml:space="preserve"> </w:t>
            </w:r>
            <w:r>
              <w:rPr>
                <w:i/>
                <w:sz w:val="20"/>
              </w:rPr>
              <w:t>et</w:t>
            </w:r>
            <w:r>
              <w:rPr>
                <w:i/>
                <w:spacing w:val="-11"/>
                <w:sz w:val="20"/>
              </w:rPr>
              <w:t xml:space="preserve"> </w:t>
            </w:r>
            <w:r>
              <w:rPr>
                <w:i/>
                <w:sz w:val="20"/>
              </w:rPr>
              <w:t>al</w:t>
            </w:r>
            <w:r>
              <w:rPr>
                <w:sz w:val="20"/>
              </w:rPr>
              <w:t>.,</w:t>
            </w:r>
            <w:r>
              <w:rPr>
                <w:spacing w:val="-11"/>
                <w:sz w:val="20"/>
              </w:rPr>
              <w:t xml:space="preserve"> </w:t>
            </w:r>
            <w:r>
              <w:rPr>
                <w:sz w:val="20"/>
              </w:rPr>
              <w:t>2019).</w:t>
            </w:r>
            <w:r>
              <w:rPr>
                <w:spacing w:val="-12"/>
                <w:sz w:val="20"/>
              </w:rPr>
              <w:t xml:space="preserve"> </w:t>
            </w:r>
            <w:r>
              <w:rPr>
                <w:sz w:val="20"/>
              </w:rPr>
              <w:t>The</w:t>
            </w:r>
            <w:r>
              <w:rPr>
                <w:spacing w:val="-11"/>
                <w:sz w:val="20"/>
              </w:rPr>
              <w:t xml:space="preserve"> </w:t>
            </w:r>
            <w:r>
              <w:rPr>
                <w:sz w:val="20"/>
              </w:rPr>
              <w:t>western</w:t>
            </w:r>
            <w:r>
              <w:rPr>
                <w:spacing w:val="-11"/>
                <w:sz w:val="20"/>
              </w:rPr>
              <w:t xml:space="preserve"> </w:t>
            </w:r>
            <w:r>
              <w:rPr>
                <w:sz w:val="20"/>
              </w:rPr>
              <w:t>population</w:t>
            </w:r>
            <w:r>
              <w:rPr>
                <w:spacing w:val="-12"/>
                <w:sz w:val="20"/>
              </w:rPr>
              <w:t xml:space="preserve"> </w:t>
            </w:r>
            <w:r>
              <w:rPr>
                <w:sz w:val="20"/>
              </w:rPr>
              <w:t>is</w:t>
            </w:r>
            <w:r>
              <w:rPr>
                <w:spacing w:val="-11"/>
                <w:sz w:val="20"/>
              </w:rPr>
              <w:t xml:space="preserve"> </w:t>
            </w:r>
            <w:r>
              <w:rPr>
                <w:sz w:val="20"/>
              </w:rPr>
              <w:t>an</w:t>
            </w:r>
            <w:r>
              <w:rPr>
                <w:spacing w:val="-11"/>
                <w:sz w:val="20"/>
              </w:rPr>
              <w:t xml:space="preserve"> </w:t>
            </w:r>
            <w:r>
              <w:rPr>
                <w:sz w:val="20"/>
              </w:rPr>
              <w:t>order</w:t>
            </w:r>
            <w:r>
              <w:rPr>
                <w:spacing w:val="-12"/>
                <w:sz w:val="20"/>
              </w:rPr>
              <w:t xml:space="preserve"> </w:t>
            </w:r>
            <w:r>
              <w:rPr>
                <w:sz w:val="20"/>
              </w:rPr>
              <w:t>of</w:t>
            </w:r>
            <w:r>
              <w:rPr>
                <w:spacing w:val="-11"/>
                <w:sz w:val="20"/>
              </w:rPr>
              <w:t xml:space="preserve"> </w:t>
            </w:r>
            <w:r>
              <w:rPr>
                <w:sz w:val="20"/>
              </w:rPr>
              <w:t>magnitude</w:t>
            </w:r>
            <w:r>
              <w:rPr>
                <w:spacing w:val="-11"/>
                <w:sz w:val="20"/>
              </w:rPr>
              <w:t xml:space="preserve"> </w:t>
            </w:r>
            <w:r>
              <w:rPr>
                <w:sz w:val="20"/>
              </w:rPr>
              <w:t>smaller</w:t>
            </w:r>
            <w:r>
              <w:rPr>
                <w:spacing w:val="-11"/>
                <w:sz w:val="20"/>
              </w:rPr>
              <w:t xml:space="preserve"> </w:t>
            </w:r>
            <w:r>
              <w:rPr>
                <w:sz w:val="20"/>
              </w:rPr>
              <w:t xml:space="preserve">than the eastern one (ICCAT, 2023a) and remains mostly in the western Atlantic (to the west of OSPAR Region V), as indicated by tagging and genetic evidence (Dedman </w:t>
            </w:r>
            <w:r>
              <w:rPr>
                <w:i/>
                <w:sz w:val="20"/>
              </w:rPr>
              <w:t>et al</w:t>
            </w:r>
            <w:r>
              <w:rPr>
                <w:sz w:val="20"/>
              </w:rPr>
              <w:t xml:space="preserve">., 2003; Rodriguez-Ezpeleta </w:t>
            </w:r>
            <w:r>
              <w:rPr>
                <w:i/>
                <w:sz w:val="20"/>
              </w:rPr>
              <w:t>et al</w:t>
            </w:r>
            <w:r>
              <w:rPr>
                <w:sz w:val="20"/>
              </w:rPr>
              <w:t>., 2019).</w:t>
            </w:r>
          </w:p>
        </w:tc>
      </w:tr>
    </w:tbl>
    <w:p w14:paraId="52C610B9" w14:textId="77777777" w:rsidR="005042A3" w:rsidRDefault="005042A3">
      <w:pPr>
        <w:pStyle w:val="TableParagraph"/>
        <w:jc w:val="both"/>
        <w:rPr>
          <w:sz w:val="20"/>
        </w:rPr>
        <w:sectPr w:rsidR="005042A3">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2"/>
        <w:gridCol w:w="7814"/>
      </w:tblGrid>
      <w:tr w:rsidR="005042A3" w14:paraId="29DEC64B" w14:textId="77777777">
        <w:trPr>
          <w:trHeight w:val="9066"/>
        </w:trPr>
        <w:tc>
          <w:tcPr>
            <w:tcW w:w="2472" w:type="dxa"/>
          </w:tcPr>
          <w:p w14:paraId="137C73AF" w14:textId="77777777" w:rsidR="005042A3" w:rsidRDefault="005042A3">
            <w:pPr>
              <w:pStyle w:val="TableParagraph"/>
              <w:rPr>
                <w:rFonts w:ascii="Times New Roman"/>
                <w:sz w:val="18"/>
              </w:rPr>
            </w:pPr>
          </w:p>
        </w:tc>
        <w:tc>
          <w:tcPr>
            <w:tcW w:w="7814" w:type="dxa"/>
          </w:tcPr>
          <w:p w14:paraId="286EB853" w14:textId="7668922D" w:rsidR="005042A3" w:rsidRDefault="00982504">
            <w:pPr>
              <w:pStyle w:val="TableParagraph"/>
              <w:spacing w:before="1"/>
              <w:ind w:left="110" w:right="91"/>
              <w:jc w:val="both"/>
              <w:rPr>
                <w:sz w:val="20"/>
              </w:rPr>
            </w:pPr>
            <w:r>
              <w:rPr>
                <w:sz w:val="20"/>
              </w:rPr>
              <w:t>The latest (2022) ICCAT assessment of the eastern population indicates a strongly increasing population with Spawning Stock Biomass (SSB) at the highest value since the 1960s</w:t>
            </w:r>
            <w:r w:rsidR="00711D02">
              <w:rPr>
                <w:sz w:val="20"/>
              </w:rPr>
              <w:t xml:space="preserve"> (</w:t>
            </w:r>
            <w:r w:rsidR="00711D02" w:rsidRPr="00711D02">
              <w:rPr>
                <w:b/>
                <w:bCs/>
                <w:sz w:val="20"/>
              </w:rPr>
              <w:t>Figure 1</w:t>
            </w:r>
            <w:r w:rsidR="00711D02">
              <w:rPr>
                <w:sz w:val="20"/>
              </w:rPr>
              <w:t>)</w:t>
            </w:r>
            <w:r>
              <w:rPr>
                <w:sz w:val="20"/>
              </w:rPr>
              <w:t>. No biomass reference points are determined. The fishing mortality for juveniles and adults has decreased substantially and is now below fishing mortality reference points.</w:t>
            </w:r>
          </w:p>
          <w:p w14:paraId="3AA20106" w14:textId="77777777" w:rsidR="005042A3" w:rsidRDefault="005042A3">
            <w:pPr>
              <w:pStyle w:val="TableParagraph"/>
              <w:spacing w:before="2"/>
              <w:rPr>
                <w:b/>
                <w:sz w:val="18"/>
              </w:rPr>
            </w:pPr>
          </w:p>
          <w:p w14:paraId="740E17D9" w14:textId="77777777" w:rsidR="005042A3" w:rsidRDefault="00982504">
            <w:pPr>
              <w:pStyle w:val="TableParagraph"/>
              <w:ind w:left="1648"/>
              <w:rPr>
                <w:sz w:val="20"/>
              </w:rPr>
            </w:pPr>
            <w:r>
              <w:rPr>
                <w:noProof/>
                <w:sz w:val="20"/>
              </w:rPr>
              <w:drawing>
                <wp:inline distT="0" distB="0" distL="0" distR="0" wp14:anchorId="582B1448" wp14:editId="07B5E9F2">
                  <wp:extent cx="2851161" cy="1867662"/>
                  <wp:effectExtent l="0" t="0" r="0" b="0"/>
                  <wp:docPr id="16" name="Image 16" descr="Histograma  Descripción generada automáticamente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Histograma  Descripción generada automáticamente "/>
                          <pic:cNvPicPr/>
                        </pic:nvPicPr>
                        <pic:blipFill>
                          <a:blip r:embed="rId15" cstate="print"/>
                          <a:stretch>
                            <a:fillRect/>
                          </a:stretch>
                        </pic:blipFill>
                        <pic:spPr>
                          <a:xfrm>
                            <a:off x="0" y="0"/>
                            <a:ext cx="2851161" cy="1867662"/>
                          </a:xfrm>
                          <a:prstGeom prst="rect">
                            <a:avLst/>
                          </a:prstGeom>
                        </pic:spPr>
                      </pic:pic>
                    </a:graphicData>
                  </a:graphic>
                </wp:inline>
              </w:drawing>
            </w:r>
          </w:p>
          <w:p w14:paraId="5BB5C369" w14:textId="77777777" w:rsidR="005042A3" w:rsidRDefault="005042A3">
            <w:pPr>
              <w:pStyle w:val="TableParagraph"/>
              <w:spacing w:before="105" w:after="1"/>
              <w:rPr>
                <w:b/>
                <w:sz w:val="20"/>
              </w:rPr>
            </w:pPr>
          </w:p>
          <w:p w14:paraId="67167C6B" w14:textId="77777777" w:rsidR="005042A3" w:rsidRDefault="00982504">
            <w:pPr>
              <w:pStyle w:val="TableParagraph"/>
              <w:ind w:left="1311"/>
              <w:rPr>
                <w:sz w:val="20"/>
              </w:rPr>
            </w:pPr>
            <w:r>
              <w:rPr>
                <w:noProof/>
                <w:sz w:val="20"/>
              </w:rPr>
              <w:drawing>
                <wp:inline distT="0" distB="0" distL="0" distR="0" wp14:anchorId="68DCAFF2" wp14:editId="7556B83E">
                  <wp:extent cx="3249091" cy="2128266"/>
                  <wp:effectExtent l="0" t="0" r="0" b="0"/>
                  <wp:docPr id="17" name="Image 17" descr="Histograma  Descripción generada automáticamente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descr="Histograma  Descripción generada automáticamente "/>
                          <pic:cNvPicPr/>
                        </pic:nvPicPr>
                        <pic:blipFill>
                          <a:blip r:embed="rId16" cstate="print"/>
                          <a:stretch>
                            <a:fillRect/>
                          </a:stretch>
                        </pic:blipFill>
                        <pic:spPr>
                          <a:xfrm>
                            <a:off x="0" y="0"/>
                            <a:ext cx="3249091" cy="2128266"/>
                          </a:xfrm>
                          <a:prstGeom prst="rect">
                            <a:avLst/>
                          </a:prstGeom>
                        </pic:spPr>
                      </pic:pic>
                    </a:graphicData>
                  </a:graphic>
                </wp:inline>
              </w:drawing>
            </w:r>
          </w:p>
          <w:p w14:paraId="64AFF693" w14:textId="77777777" w:rsidR="005042A3" w:rsidRDefault="005042A3">
            <w:pPr>
              <w:pStyle w:val="TableParagraph"/>
              <w:spacing w:before="27"/>
              <w:rPr>
                <w:b/>
                <w:sz w:val="20"/>
              </w:rPr>
            </w:pPr>
          </w:p>
          <w:p w14:paraId="4D936036" w14:textId="24853E05" w:rsidR="005042A3" w:rsidRDefault="00982504" w:rsidP="009900A0">
            <w:pPr>
              <w:pStyle w:val="TableParagraph"/>
              <w:ind w:left="149" w:right="90"/>
              <w:jc w:val="both"/>
              <w:rPr>
                <w:sz w:val="17"/>
              </w:rPr>
            </w:pPr>
            <w:r>
              <w:rPr>
                <w:b/>
                <w:sz w:val="17"/>
              </w:rPr>
              <w:t>Figure 1</w:t>
            </w:r>
            <w:r w:rsidR="009900A0">
              <w:rPr>
                <w:b/>
                <w:sz w:val="17"/>
              </w:rPr>
              <w:t xml:space="preserve">: </w:t>
            </w:r>
            <w:r>
              <w:rPr>
                <w:sz w:val="17"/>
              </w:rPr>
              <w:t>East Atlantic and Mediterranean spawning-stock biomass (SSB, upper panel) and fishing</w:t>
            </w:r>
            <w:r>
              <w:rPr>
                <w:spacing w:val="40"/>
                <w:sz w:val="17"/>
              </w:rPr>
              <w:t xml:space="preserve"> </w:t>
            </w:r>
            <w:r>
              <w:rPr>
                <w:sz w:val="17"/>
              </w:rPr>
              <w:t>mortality (</w:t>
            </w:r>
            <w:r>
              <w:rPr>
                <w:i/>
                <w:sz w:val="17"/>
              </w:rPr>
              <w:t>F</w:t>
            </w:r>
            <w:r>
              <w:rPr>
                <w:sz w:val="17"/>
              </w:rPr>
              <w:t>, lower panel) trends estimated by three different stock assessment models:</w:t>
            </w:r>
            <w:r>
              <w:rPr>
                <w:spacing w:val="40"/>
                <w:sz w:val="17"/>
              </w:rPr>
              <w:t xml:space="preserve"> </w:t>
            </w:r>
            <w:r>
              <w:rPr>
                <w:sz w:val="17"/>
              </w:rPr>
              <w:t>VPA (blue lines), Stock Synthesis (green lines), and ASAP (orange lines). Source: ICCAT</w:t>
            </w:r>
            <w:r>
              <w:rPr>
                <w:spacing w:val="40"/>
                <w:sz w:val="17"/>
              </w:rPr>
              <w:t xml:space="preserve"> </w:t>
            </w:r>
            <w:r>
              <w:rPr>
                <w:spacing w:val="-2"/>
                <w:sz w:val="17"/>
              </w:rPr>
              <w:t>(2023a).</w:t>
            </w:r>
          </w:p>
        </w:tc>
      </w:tr>
      <w:tr w:rsidR="005042A3" w14:paraId="3176D96A" w14:textId="77777777">
        <w:trPr>
          <w:trHeight w:val="1216"/>
        </w:trPr>
        <w:tc>
          <w:tcPr>
            <w:tcW w:w="2472" w:type="dxa"/>
          </w:tcPr>
          <w:p w14:paraId="6269FA72" w14:textId="77777777" w:rsidR="005042A3" w:rsidRDefault="005042A3">
            <w:pPr>
              <w:pStyle w:val="TableParagraph"/>
              <w:rPr>
                <w:b/>
                <w:sz w:val="20"/>
              </w:rPr>
            </w:pPr>
          </w:p>
          <w:p w14:paraId="16B9C108" w14:textId="77777777" w:rsidR="005042A3" w:rsidRDefault="005042A3">
            <w:pPr>
              <w:pStyle w:val="TableParagraph"/>
              <w:spacing w:before="57"/>
              <w:rPr>
                <w:b/>
                <w:sz w:val="20"/>
              </w:rPr>
            </w:pPr>
          </w:p>
          <w:p w14:paraId="6F2F0CAC" w14:textId="77777777" w:rsidR="005042A3" w:rsidRDefault="00982504">
            <w:pPr>
              <w:pStyle w:val="TableParagraph"/>
              <w:spacing w:before="1"/>
              <w:ind w:left="107"/>
              <w:rPr>
                <w:sz w:val="20"/>
              </w:rPr>
            </w:pPr>
            <w:r>
              <w:rPr>
                <w:spacing w:val="-2"/>
                <w:sz w:val="20"/>
              </w:rPr>
              <w:t>Condition</w:t>
            </w:r>
          </w:p>
        </w:tc>
        <w:tc>
          <w:tcPr>
            <w:tcW w:w="7814" w:type="dxa"/>
          </w:tcPr>
          <w:p w14:paraId="7B06083C" w14:textId="77777777" w:rsidR="005042A3" w:rsidRDefault="00982504">
            <w:pPr>
              <w:pStyle w:val="TableParagraph"/>
              <w:spacing w:before="121"/>
              <w:ind w:left="110" w:right="91"/>
              <w:jc w:val="both"/>
              <w:rPr>
                <w:sz w:val="20"/>
              </w:rPr>
            </w:pPr>
            <w:r>
              <w:rPr>
                <w:sz w:val="20"/>
              </w:rPr>
              <w:t>Recruitment</w:t>
            </w:r>
            <w:r>
              <w:rPr>
                <w:spacing w:val="-8"/>
                <w:sz w:val="20"/>
              </w:rPr>
              <w:t xml:space="preserve"> </w:t>
            </w:r>
            <w:r>
              <w:rPr>
                <w:sz w:val="20"/>
              </w:rPr>
              <w:t>estimates</w:t>
            </w:r>
            <w:r>
              <w:rPr>
                <w:spacing w:val="-8"/>
                <w:sz w:val="20"/>
              </w:rPr>
              <w:t xml:space="preserve"> </w:t>
            </w:r>
            <w:r>
              <w:rPr>
                <w:sz w:val="20"/>
              </w:rPr>
              <w:t>for</w:t>
            </w:r>
            <w:r>
              <w:rPr>
                <w:spacing w:val="-9"/>
                <w:sz w:val="20"/>
              </w:rPr>
              <w:t xml:space="preserve"> </w:t>
            </w:r>
            <w:r>
              <w:rPr>
                <w:sz w:val="20"/>
              </w:rPr>
              <w:t>East</w:t>
            </w:r>
            <w:r>
              <w:rPr>
                <w:spacing w:val="-8"/>
                <w:sz w:val="20"/>
              </w:rPr>
              <w:t xml:space="preserve"> </w:t>
            </w:r>
            <w:r>
              <w:rPr>
                <w:sz w:val="20"/>
              </w:rPr>
              <w:t>Atlantic</w:t>
            </w:r>
            <w:r>
              <w:rPr>
                <w:spacing w:val="-9"/>
                <w:sz w:val="20"/>
              </w:rPr>
              <w:t xml:space="preserve"> </w:t>
            </w:r>
            <w:r>
              <w:rPr>
                <w:sz w:val="20"/>
              </w:rPr>
              <w:t>and</w:t>
            </w:r>
            <w:r>
              <w:rPr>
                <w:spacing w:val="-8"/>
                <w:sz w:val="20"/>
              </w:rPr>
              <w:t xml:space="preserve"> </w:t>
            </w:r>
            <w:r>
              <w:rPr>
                <w:sz w:val="20"/>
              </w:rPr>
              <w:t>Mediterranean</w:t>
            </w:r>
            <w:r>
              <w:rPr>
                <w:spacing w:val="-6"/>
                <w:sz w:val="20"/>
              </w:rPr>
              <w:t xml:space="preserve"> </w:t>
            </w:r>
            <w:r>
              <w:rPr>
                <w:sz w:val="20"/>
              </w:rPr>
              <w:t>Atlantic</w:t>
            </w:r>
            <w:r>
              <w:rPr>
                <w:spacing w:val="-9"/>
                <w:sz w:val="20"/>
              </w:rPr>
              <w:t xml:space="preserve"> </w:t>
            </w:r>
            <w:r>
              <w:rPr>
                <w:sz w:val="20"/>
              </w:rPr>
              <w:t>bluefin</w:t>
            </w:r>
            <w:r>
              <w:rPr>
                <w:spacing w:val="-8"/>
                <w:sz w:val="20"/>
              </w:rPr>
              <w:t xml:space="preserve"> </w:t>
            </w:r>
            <w:r>
              <w:rPr>
                <w:sz w:val="20"/>
              </w:rPr>
              <w:t>tuna</w:t>
            </w:r>
            <w:r>
              <w:rPr>
                <w:spacing w:val="-8"/>
                <w:sz w:val="20"/>
              </w:rPr>
              <w:t xml:space="preserve"> </w:t>
            </w:r>
            <w:r>
              <w:rPr>
                <w:sz w:val="20"/>
              </w:rPr>
              <w:t>are</w:t>
            </w:r>
            <w:r>
              <w:rPr>
                <w:spacing w:val="-10"/>
                <w:sz w:val="20"/>
              </w:rPr>
              <w:t xml:space="preserve"> </w:t>
            </w:r>
            <w:r>
              <w:rPr>
                <w:sz w:val="20"/>
              </w:rPr>
              <w:t>uncertain and</w:t>
            </w:r>
            <w:r>
              <w:rPr>
                <w:spacing w:val="-12"/>
                <w:sz w:val="20"/>
              </w:rPr>
              <w:t xml:space="preserve"> </w:t>
            </w:r>
            <w:r>
              <w:rPr>
                <w:sz w:val="20"/>
              </w:rPr>
              <w:t>show</w:t>
            </w:r>
            <w:r>
              <w:rPr>
                <w:spacing w:val="-11"/>
                <w:sz w:val="20"/>
              </w:rPr>
              <w:t xml:space="preserve"> </w:t>
            </w:r>
            <w:r>
              <w:rPr>
                <w:sz w:val="20"/>
              </w:rPr>
              <w:t>considerable</w:t>
            </w:r>
            <w:r>
              <w:rPr>
                <w:spacing w:val="-11"/>
                <w:sz w:val="20"/>
              </w:rPr>
              <w:t xml:space="preserve"> </w:t>
            </w:r>
            <w:r>
              <w:rPr>
                <w:sz w:val="20"/>
              </w:rPr>
              <w:t>variability,</w:t>
            </w:r>
            <w:r>
              <w:rPr>
                <w:spacing w:val="-12"/>
                <w:sz w:val="20"/>
              </w:rPr>
              <w:t xml:space="preserve"> </w:t>
            </w:r>
            <w:r>
              <w:rPr>
                <w:sz w:val="20"/>
              </w:rPr>
              <w:t>especially</w:t>
            </w:r>
            <w:r>
              <w:rPr>
                <w:spacing w:val="-11"/>
                <w:sz w:val="20"/>
              </w:rPr>
              <w:t xml:space="preserve"> </w:t>
            </w:r>
            <w:r>
              <w:rPr>
                <w:sz w:val="20"/>
              </w:rPr>
              <w:t>over</w:t>
            </w:r>
            <w:r>
              <w:rPr>
                <w:spacing w:val="-11"/>
                <w:sz w:val="20"/>
              </w:rPr>
              <w:t xml:space="preserve"> </w:t>
            </w:r>
            <w:r>
              <w:rPr>
                <w:sz w:val="20"/>
              </w:rPr>
              <w:t>the</w:t>
            </w:r>
            <w:r>
              <w:rPr>
                <w:spacing w:val="-12"/>
                <w:sz w:val="20"/>
              </w:rPr>
              <w:t xml:space="preserve"> </w:t>
            </w:r>
            <w:r>
              <w:rPr>
                <w:sz w:val="20"/>
              </w:rPr>
              <w:t>recent</w:t>
            </w:r>
            <w:r>
              <w:rPr>
                <w:spacing w:val="-11"/>
                <w:sz w:val="20"/>
              </w:rPr>
              <w:t xml:space="preserve"> </w:t>
            </w:r>
            <w:r>
              <w:rPr>
                <w:sz w:val="20"/>
              </w:rPr>
              <w:t>period.</w:t>
            </w:r>
            <w:r>
              <w:rPr>
                <w:spacing w:val="-11"/>
                <w:sz w:val="20"/>
              </w:rPr>
              <w:t xml:space="preserve"> </w:t>
            </w:r>
            <w:r>
              <w:rPr>
                <w:sz w:val="20"/>
              </w:rPr>
              <w:t>In</w:t>
            </w:r>
            <w:r>
              <w:rPr>
                <w:spacing w:val="-12"/>
                <w:sz w:val="20"/>
              </w:rPr>
              <w:t xml:space="preserve"> </w:t>
            </w:r>
            <w:r>
              <w:rPr>
                <w:sz w:val="20"/>
              </w:rPr>
              <w:t>general,</w:t>
            </w:r>
            <w:r>
              <w:rPr>
                <w:spacing w:val="-11"/>
                <w:sz w:val="20"/>
              </w:rPr>
              <w:t xml:space="preserve"> </w:t>
            </w:r>
            <w:r>
              <w:rPr>
                <w:sz w:val="20"/>
              </w:rPr>
              <w:t>however,</w:t>
            </w:r>
            <w:r>
              <w:rPr>
                <w:spacing w:val="-11"/>
                <w:sz w:val="20"/>
              </w:rPr>
              <w:t xml:space="preserve"> </w:t>
            </w:r>
            <w:r>
              <w:rPr>
                <w:sz w:val="20"/>
              </w:rPr>
              <w:t xml:space="preserve">there are two distinct periods, one with low </w:t>
            </w:r>
            <w:proofErr w:type="gramStart"/>
            <w:r>
              <w:rPr>
                <w:sz w:val="20"/>
              </w:rPr>
              <w:t>recruitments</w:t>
            </w:r>
            <w:proofErr w:type="gramEnd"/>
            <w:r>
              <w:rPr>
                <w:sz w:val="20"/>
              </w:rPr>
              <w:t xml:space="preserve"> before 1990 and the other with higher </w:t>
            </w:r>
            <w:proofErr w:type="gramStart"/>
            <w:r>
              <w:rPr>
                <w:sz w:val="20"/>
              </w:rPr>
              <w:t>recruitments</w:t>
            </w:r>
            <w:proofErr w:type="gramEnd"/>
            <w:r>
              <w:rPr>
                <w:sz w:val="20"/>
              </w:rPr>
              <w:t xml:space="preserve"> thereafter (ICCAT, 2023a).</w:t>
            </w:r>
          </w:p>
        </w:tc>
      </w:tr>
      <w:tr w:rsidR="005042A3" w14:paraId="1FFA4951" w14:textId="77777777">
        <w:trPr>
          <w:trHeight w:val="2557"/>
        </w:trPr>
        <w:tc>
          <w:tcPr>
            <w:tcW w:w="2472" w:type="dxa"/>
          </w:tcPr>
          <w:p w14:paraId="377F7579" w14:textId="77777777" w:rsidR="005042A3" w:rsidRDefault="005042A3">
            <w:pPr>
              <w:pStyle w:val="TableParagraph"/>
              <w:rPr>
                <w:b/>
                <w:sz w:val="20"/>
              </w:rPr>
            </w:pPr>
          </w:p>
          <w:p w14:paraId="2FCA851D" w14:textId="77777777" w:rsidR="005042A3" w:rsidRDefault="005042A3">
            <w:pPr>
              <w:pStyle w:val="TableParagraph"/>
              <w:rPr>
                <w:b/>
                <w:sz w:val="20"/>
              </w:rPr>
            </w:pPr>
          </w:p>
          <w:p w14:paraId="0761816E" w14:textId="77777777" w:rsidR="005042A3" w:rsidRDefault="005042A3">
            <w:pPr>
              <w:pStyle w:val="TableParagraph"/>
              <w:rPr>
                <w:b/>
                <w:sz w:val="20"/>
              </w:rPr>
            </w:pPr>
          </w:p>
          <w:p w14:paraId="42AF0EE9" w14:textId="77777777" w:rsidR="005042A3" w:rsidRDefault="005042A3">
            <w:pPr>
              <w:pStyle w:val="TableParagraph"/>
              <w:spacing w:before="119"/>
              <w:rPr>
                <w:b/>
                <w:sz w:val="20"/>
              </w:rPr>
            </w:pPr>
          </w:p>
          <w:p w14:paraId="50DBD217" w14:textId="77777777" w:rsidR="005042A3" w:rsidRDefault="00982504">
            <w:pPr>
              <w:pStyle w:val="TableParagraph"/>
              <w:ind w:left="107" w:right="1383"/>
              <w:rPr>
                <w:sz w:val="20"/>
              </w:rPr>
            </w:pPr>
            <w:r>
              <w:rPr>
                <w:sz w:val="20"/>
              </w:rPr>
              <w:t>Threats</w:t>
            </w:r>
            <w:r>
              <w:rPr>
                <w:spacing w:val="-12"/>
                <w:sz w:val="20"/>
              </w:rPr>
              <w:t xml:space="preserve"> </w:t>
            </w:r>
            <w:r>
              <w:rPr>
                <w:sz w:val="20"/>
              </w:rPr>
              <w:t xml:space="preserve">and </w:t>
            </w:r>
            <w:r>
              <w:rPr>
                <w:spacing w:val="-2"/>
                <w:sz w:val="20"/>
              </w:rPr>
              <w:t>impacts</w:t>
            </w:r>
          </w:p>
        </w:tc>
        <w:tc>
          <w:tcPr>
            <w:tcW w:w="7814" w:type="dxa"/>
          </w:tcPr>
          <w:p w14:paraId="1C17A735" w14:textId="77777777" w:rsidR="005042A3" w:rsidRDefault="00982504">
            <w:pPr>
              <w:pStyle w:val="TableParagraph"/>
              <w:spacing w:before="121"/>
              <w:ind w:left="110" w:right="90"/>
              <w:jc w:val="both"/>
              <w:rPr>
                <w:sz w:val="20"/>
              </w:rPr>
            </w:pPr>
            <w:r>
              <w:rPr>
                <w:sz w:val="20"/>
              </w:rPr>
              <w:t>Historically, fishing</w:t>
            </w:r>
            <w:r>
              <w:rPr>
                <w:spacing w:val="-1"/>
                <w:sz w:val="20"/>
              </w:rPr>
              <w:t xml:space="preserve"> </w:t>
            </w:r>
            <w:r>
              <w:rPr>
                <w:sz w:val="20"/>
              </w:rPr>
              <w:t>has been the</w:t>
            </w:r>
            <w:r>
              <w:rPr>
                <w:spacing w:val="-1"/>
                <w:sz w:val="20"/>
              </w:rPr>
              <w:t xml:space="preserve"> </w:t>
            </w:r>
            <w:r>
              <w:rPr>
                <w:sz w:val="20"/>
              </w:rPr>
              <w:t>main threat to the</w:t>
            </w:r>
            <w:r>
              <w:rPr>
                <w:spacing w:val="-1"/>
                <w:sz w:val="20"/>
              </w:rPr>
              <w:t xml:space="preserve"> </w:t>
            </w:r>
            <w:r>
              <w:rPr>
                <w:sz w:val="20"/>
              </w:rPr>
              <w:t>Atlantic bluefin tuna.</w:t>
            </w:r>
            <w:r>
              <w:rPr>
                <w:spacing w:val="-1"/>
                <w:sz w:val="20"/>
              </w:rPr>
              <w:t xml:space="preserve"> </w:t>
            </w:r>
            <w:r>
              <w:rPr>
                <w:sz w:val="20"/>
              </w:rPr>
              <w:t xml:space="preserve">This generated high and largely uncontrolled fishing rates causing population </w:t>
            </w:r>
            <w:proofErr w:type="gramStart"/>
            <w:r>
              <w:rPr>
                <w:sz w:val="20"/>
              </w:rPr>
              <w:t>declines</w:t>
            </w:r>
            <w:proofErr w:type="gramEnd"/>
            <w:r>
              <w:rPr>
                <w:sz w:val="20"/>
              </w:rPr>
              <w:t>. Following the implementation</w:t>
            </w:r>
            <w:r>
              <w:rPr>
                <w:spacing w:val="-6"/>
                <w:sz w:val="20"/>
              </w:rPr>
              <w:t xml:space="preserve"> </w:t>
            </w:r>
            <w:r>
              <w:rPr>
                <w:sz w:val="20"/>
              </w:rPr>
              <w:t>of</w:t>
            </w:r>
            <w:r>
              <w:rPr>
                <w:spacing w:val="-7"/>
                <w:sz w:val="20"/>
              </w:rPr>
              <w:t xml:space="preserve"> </w:t>
            </w:r>
            <w:r>
              <w:rPr>
                <w:sz w:val="20"/>
              </w:rPr>
              <w:t>the</w:t>
            </w:r>
            <w:r>
              <w:rPr>
                <w:spacing w:val="-7"/>
                <w:sz w:val="20"/>
              </w:rPr>
              <w:t xml:space="preserve"> </w:t>
            </w:r>
            <w:r>
              <w:rPr>
                <w:sz w:val="20"/>
              </w:rPr>
              <w:t>recovery</w:t>
            </w:r>
            <w:r>
              <w:rPr>
                <w:spacing w:val="-5"/>
                <w:sz w:val="20"/>
              </w:rPr>
              <w:t xml:space="preserve"> </w:t>
            </w:r>
            <w:r>
              <w:rPr>
                <w:sz w:val="20"/>
              </w:rPr>
              <w:t>plan</w:t>
            </w:r>
            <w:r>
              <w:rPr>
                <w:spacing w:val="-6"/>
                <w:sz w:val="20"/>
              </w:rPr>
              <w:t xml:space="preserve"> </w:t>
            </w:r>
            <w:r>
              <w:rPr>
                <w:sz w:val="20"/>
              </w:rPr>
              <w:t>in</w:t>
            </w:r>
            <w:r>
              <w:rPr>
                <w:spacing w:val="-6"/>
                <w:sz w:val="20"/>
              </w:rPr>
              <w:t xml:space="preserve"> </w:t>
            </w:r>
            <w:r>
              <w:rPr>
                <w:sz w:val="20"/>
              </w:rPr>
              <w:t>2006,</w:t>
            </w:r>
            <w:r>
              <w:rPr>
                <w:spacing w:val="-6"/>
                <w:sz w:val="20"/>
              </w:rPr>
              <w:t xml:space="preserve"> </w:t>
            </w:r>
            <w:r>
              <w:rPr>
                <w:sz w:val="20"/>
              </w:rPr>
              <w:t>fishing</w:t>
            </w:r>
            <w:r>
              <w:rPr>
                <w:spacing w:val="-7"/>
                <w:sz w:val="20"/>
              </w:rPr>
              <w:t xml:space="preserve"> </w:t>
            </w:r>
            <w:r>
              <w:rPr>
                <w:sz w:val="20"/>
              </w:rPr>
              <w:t>mortality</w:t>
            </w:r>
            <w:r>
              <w:rPr>
                <w:spacing w:val="-5"/>
                <w:sz w:val="20"/>
              </w:rPr>
              <w:t xml:space="preserve"> </w:t>
            </w:r>
            <w:r>
              <w:rPr>
                <w:sz w:val="20"/>
              </w:rPr>
              <w:t>was</w:t>
            </w:r>
            <w:r>
              <w:rPr>
                <w:spacing w:val="-5"/>
                <w:sz w:val="20"/>
              </w:rPr>
              <w:t xml:space="preserve"> </w:t>
            </w:r>
            <w:r>
              <w:rPr>
                <w:sz w:val="20"/>
              </w:rPr>
              <w:t>reduced</w:t>
            </w:r>
            <w:r>
              <w:rPr>
                <w:spacing w:val="-6"/>
                <w:sz w:val="20"/>
              </w:rPr>
              <w:t xml:space="preserve"> </w:t>
            </w:r>
            <w:r>
              <w:rPr>
                <w:sz w:val="20"/>
              </w:rPr>
              <w:t>and</w:t>
            </w:r>
            <w:r>
              <w:rPr>
                <w:spacing w:val="-6"/>
                <w:sz w:val="20"/>
              </w:rPr>
              <w:t xml:space="preserve"> </w:t>
            </w:r>
            <w:r>
              <w:rPr>
                <w:sz w:val="20"/>
              </w:rPr>
              <w:t>has</w:t>
            </w:r>
            <w:r>
              <w:rPr>
                <w:spacing w:val="-5"/>
                <w:sz w:val="20"/>
              </w:rPr>
              <w:t xml:space="preserve"> </w:t>
            </w:r>
            <w:r>
              <w:rPr>
                <w:sz w:val="20"/>
              </w:rPr>
              <w:t>remained within sustainable levels since the early 2010s.</w:t>
            </w:r>
          </w:p>
          <w:p w14:paraId="5276507A" w14:textId="77777777" w:rsidR="005042A3" w:rsidRDefault="00982504">
            <w:pPr>
              <w:pStyle w:val="TableParagraph"/>
              <w:spacing w:before="120"/>
              <w:ind w:left="110" w:right="91"/>
              <w:jc w:val="both"/>
              <w:rPr>
                <w:sz w:val="20"/>
              </w:rPr>
            </w:pPr>
            <w:r>
              <w:rPr>
                <w:sz w:val="20"/>
              </w:rPr>
              <w:t>Climate</w:t>
            </w:r>
            <w:r>
              <w:rPr>
                <w:spacing w:val="-12"/>
                <w:sz w:val="20"/>
              </w:rPr>
              <w:t xml:space="preserve"> </w:t>
            </w:r>
            <w:r>
              <w:rPr>
                <w:sz w:val="20"/>
              </w:rPr>
              <w:t>change</w:t>
            </w:r>
            <w:r>
              <w:rPr>
                <w:spacing w:val="-11"/>
                <w:sz w:val="20"/>
              </w:rPr>
              <w:t xml:space="preserve"> </w:t>
            </w:r>
            <w:r>
              <w:rPr>
                <w:sz w:val="20"/>
              </w:rPr>
              <w:t>effects</w:t>
            </w:r>
            <w:r>
              <w:rPr>
                <w:spacing w:val="-11"/>
                <w:sz w:val="20"/>
              </w:rPr>
              <w:t xml:space="preserve"> </w:t>
            </w:r>
            <w:r>
              <w:rPr>
                <w:sz w:val="20"/>
              </w:rPr>
              <w:t>on</w:t>
            </w:r>
            <w:r>
              <w:rPr>
                <w:spacing w:val="-12"/>
                <w:sz w:val="20"/>
              </w:rPr>
              <w:t xml:space="preserve"> </w:t>
            </w:r>
            <w:r>
              <w:rPr>
                <w:sz w:val="20"/>
              </w:rPr>
              <w:t>bluefin</w:t>
            </w:r>
            <w:r>
              <w:rPr>
                <w:spacing w:val="-11"/>
                <w:sz w:val="20"/>
              </w:rPr>
              <w:t xml:space="preserve"> </w:t>
            </w:r>
            <w:r>
              <w:rPr>
                <w:sz w:val="20"/>
              </w:rPr>
              <w:t>tuna</w:t>
            </w:r>
            <w:r>
              <w:rPr>
                <w:spacing w:val="-11"/>
                <w:sz w:val="20"/>
              </w:rPr>
              <w:t xml:space="preserve"> </w:t>
            </w:r>
            <w:r>
              <w:rPr>
                <w:sz w:val="20"/>
              </w:rPr>
              <w:t>are</w:t>
            </w:r>
            <w:r>
              <w:rPr>
                <w:spacing w:val="-12"/>
                <w:sz w:val="20"/>
              </w:rPr>
              <w:t xml:space="preserve"> </w:t>
            </w:r>
            <w:r>
              <w:rPr>
                <w:sz w:val="20"/>
              </w:rPr>
              <w:t>not</w:t>
            </w:r>
            <w:r>
              <w:rPr>
                <w:spacing w:val="-11"/>
                <w:sz w:val="20"/>
              </w:rPr>
              <w:t xml:space="preserve"> </w:t>
            </w:r>
            <w:r>
              <w:rPr>
                <w:sz w:val="20"/>
              </w:rPr>
              <w:t>fully</w:t>
            </w:r>
            <w:r>
              <w:rPr>
                <w:spacing w:val="-11"/>
                <w:sz w:val="20"/>
              </w:rPr>
              <w:t xml:space="preserve"> </w:t>
            </w:r>
            <w:r>
              <w:rPr>
                <w:sz w:val="20"/>
              </w:rPr>
              <w:t>understood.</w:t>
            </w:r>
            <w:r>
              <w:rPr>
                <w:spacing w:val="-12"/>
                <w:sz w:val="20"/>
              </w:rPr>
              <w:t xml:space="preserve"> </w:t>
            </w:r>
            <w:r>
              <w:rPr>
                <w:sz w:val="20"/>
              </w:rPr>
              <w:t>The</w:t>
            </w:r>
            <w:r>
              <w:rPr>
                <w:spacing w:val="-11"/>
                <w:sz w:val="20"/>
              </w:rPr>
              <w:t xml:space="preserve"> </w:t>
            </w:r>
            <w:r>
              <w:rPr>
                <w:sz w:val="20"/>
              </w:rPr>
              <w:t>preferred</w:t>
            </w:r>
            <w:r>
              <w:rPr>
                <w:spacing w:val="-11"/>
                <w:sz w:val="20"/>
              </w:rPr>
              <w:t xml:space="preserve"> </w:t>
            </w:r>
            <w:r>
              <w:rPr>
                <w:sz w:val="20"/>
              </w:rPr>
              <w:t>feeding</w:t>
            </w:r>
            <w:r>
              <w:rPr>
                <w:spacing w:val="-11"/>
                <w:sz w:val="20"/>
              </w:rPr>
              <w:t xml:space="preserve"> </w:t>
            </w:r>
            <w:r>
              <w:rPr>
                <w:sz w:val="20"/>
              </w:rPr>
              <w:t>grounds are expected to move to higher latitudes (</w:t>
            </w:r>
            <w:proofErr w:type="spellStart"/>
            <w:r>
              <w:rPr>
                <w:sz w:val="20"/>
              </w:rPr>
              <w:t>Erauskin-Extramiana</w:t>
            </w:r>
            <w:proofErr w:type="spellEnd"/>
            <w:r>
              <w:rPr>
                <w:sz w:val="20"/>
              </w:rPr>
              <w:t xml:space="preserve"> </w:t>
            </w:r>
            <w:r>
              <w:rPr>
                <w:i/>
                <w:sz w:val="20"/>
              </w:rPr>
              <w:t>et al</w:t>
            </w:r>
            <w:r>
              <w:rPr>
                <w:sz w:val="20"/>
              </w:rPr>
              <w:t>., 2019). Conversely, important</w:t>
            </w:r>
            <w:r>
              <w:rPr>
                <w:spacing w:val="-10"/>
                <w:sz w:val="20"/>
              </w:rPr>
              <w:t xml:space="preserve"> </w:t>
            </w:r>
            <w:r>
              <w:rPr>
                <w:sz w:val="20"/>
              </w:rPr>
              <w:t>spawning</w:t>
            </w:r>
            <w:r>
              <w:rPr>
                <w:spacing w:val="-10"/>
                <w:sz w:val="20"/>
              </w:rPr>
              <w:t xml:space="preserve"> </w:t>
            </w:r>
            <w:r>
              <w:rPr>
                <w:sz w:val="20"/>
              </w:rPr>
              <w:t>and</w:t>
            </w:r>
            <w:r>
              <w:rPr>
                <w:spacing w:val="-10"/>
                <w:sz w:val="20"/>
              </w:rPr>
              <w:t xml:space="preserve"> </w:t>
            </w:r>
            <w:r>
              <w:rPr>
                <w:sz w:val="20"/>
              </w:rPr>
              <w:t>nursery</w:t>
            </w:r>
            <w:r>
              <w:rPr>
                <w:spacing w:val="-10"/>
                <w:sz w:val="20"/>
              </w:rPr>
              <w:t xml:space="preserve"> </w:t>
            </w:r>
            <w:r>
              <w:rPr>
                <w:sz w:val="20"/>
              </w:rPr>
              <w:t>areas</w:t>
            </w:r>
            <w:r>
              <w:rPr>
                <w:spacing w:val="-10"/>
                <w:sz w:val="20"/>
              </w:rPr>
              <w:t xml:space="preserve"> </w:t>
            </w:r>
            <w:r>
              <w:rPr>
                <w:sz w:val="20"/>
              </w:rPr>
              <w:t>in</w:t>
            </w:r>
            <w:r>
              <w:rPr>
                <w:spacing w:val="-10"/>
                <w:sz w:val="20"/>
              </w:rPr>
              <w:t xml:space="preserve"> </w:t>
            </w:r>
            <w:r>
              <w:rPr>
                <w:sz w:val="20"/>
              </w:rPr>
              <w:t>the</w:t>
            </w:r>
            <w:r>
              <w:rPr>
                <w:spacing w:val="-11"/>
                <w:sz w:val="20"/>
              </w:rPr>
              <w:t xml:space="preserve"> </w:t>
            </w:r>
            <w:r>
              <w:rPr>
                <w:sz w:val="20"/>
              </w:rPr>
              <w:t>Mediterranean</w:t>
            </w:r>
            <w:r>
              <w:rPr>
                <w:spacing w:val="-10"/>
                <w:sz w:val="20"/>
              </w:rPr>
              <w:t xml:space="preserve"> </w:t>
            </w:r>
            <w:r>
              <w:rPr>
                <w:sz w:val="20"/>
              </w:rPr>
              <w:t>might</w:t>
            </w:r>
            <w:r>
              <w:rPr>
                <w:spacing w:val="-10"/>
                <w:sz w:val="20"/>
              </w:rPr>
              <w:t xml:space="preserve"> </w:t>
            </w:r>
            <w:r>
              <w:rPr>
                <w:sz w:val="20"/>
              </w:rPr>
              <w:t>become</w:t>
            </w:r>
            <w:r>
              <w:rPr>
                <w:spacing w:val="-11"/>
                <w:sz w:val="20"/>
              </w:rPr>
              <w:t xml:space="preserve"> </w:t>
            </w:r>
            <w:r>
              <w:rPr>
                <w:sz w:val="20"/>
              </w:rPr>
              <w:t>thermally</w:t>
            </w:r>
            <w:r>
              <w:rPr>
                <w:spacing w:val="-10"/>
                <w:sz w:val="20"/>
              </w:rPr>
              <w:t xml:space="preserve"> </w:t>
            </w:r>
            <w:r>
              <w:rPr>
                <w:sz w:val="20"/>
              </w:rPr>
              <w:t xml:space="preserve">limiting, implying that spawning in the open Atlantic (as western bluefin already do, Trueman </w:t>
            </w:r>
            <w:r>
              <w:rPr>
                <w:i/>
                <w:sz w:val="20"/>
              </w:rPr>
              <w:t>et al</w:t>
            </w:r>
            <w:r>
              <w:rPr>
                <w:sz w:val="20"/>
              </w:rPr>
              <w:t>., 2023) would need to occur to sustain the eastern population.</w:t>
            </w:r>
          </w:p>
        </w:tc>
      </w:tr>
    </w:tbl>
    <w:p w14:paraId="5FDB589A" w14:textId="77777777" w:rsidR="005042A3" w:rsidRDefault="005042A3">
      <w:pPr>
        <w:pStyle w:val="TableParagraph"/>
        <w:jc w:val="both"/>
        <w:rPr>
          <w:sz w:val="20"/>
        </w:rPr>
        <w:sectPr w:rsidR="005042A3">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2"/>
        <w:gridCol w:w="7814"/>
      </w:tblGrid>
      <w:tr w:rsidR="005042A3" w14:paraId="192222ED" w14:textId="77777777">
        <w:trPr>
          <w:trHeight w:val="1825"/>
        </w:trPr>
        <w:tc>
          <w:tcPr>
            <w:tcW w:w="2472" w:type="dxa"/>
          </w:tcPr>
          <w:p w14:paraId="7CE30447" w14:textId="77777777" w:rsidR="005042A3" w:rsidRDefault="00982504">
            <w:pPr>
              <w:pStyle w:val="TableParagraph"/>
              <w:spacing w:before="181"/>
              <w:ind w:left="107" w:right="764"/>
              <w:rPr>
                <w:sz w:val="20"/>
              </w:rPr>
            </w:pPr>
            <w:r>
              <w:rPr>
                <w:sz w:val="20"/>
              </w:rPr>
              <w:lastRenderedPageBreak/>
              <w:t>Measures that address key pressures from human</w:t>
            </w:r>
            <w:r>
              <w:rPr>
                <w:spacing w:val="-12"/>
                <w:sz w:val="20"/>
              </w:rPr>
              <w:t xml:space="preserve"> </w:t>
            </w:r>
            <w:r>
              <w:rPr>
                <w:sz w:val="20"/>
              </w:rPr>
              <w:t>activities</w:t>
            </w:r>
            <w:r>
              <w:rPr>
                <w:spacing w:val="-11"/>
                <w:sz w:val="20"/>
              </w:rPr>
              <w:t xml:space="preserve"> </w:t>
            </w:r>
            <w:r>
              <w:rPr>
                <w:sz w:val="20"/>
              </w:rPr>
              <w:t xml:space="preserve">or conserve the </w:t>
            </w:r>
            <w:r>
              <w:rPr>
                <w:spacing w:val="-2"/>
                <w:sz w:val="20"/>
              </w:rPr>
              <w:t>species/habitat</w:t>
            </w:r>
          </w:p>
        </w:tc>
        <w:tc>
          <w:tcPr>
            <w:tcW w:w="7814" w:type="dxa"/>
          </w:tcPr>
          <w:p w14:paraId="2C280D0F" w14:textId="77777777" w:rsidR="005042A3" w:rsidRDefault="00982504">
            <w:pPr>
              <w:pStyle w:val="TableParagraph"/>
              <w:spacing w:before="121"/>
              <w:ind w:left="110" w:right="89"/>
              <w:jc w:val="both"/>
              <w:rPr>
                <w:sz w:val="20"/>
              </w:rPr>
            </w:pPr>
            <w:r>
              <w:rPr>
                <w:sz w:val="20"/>
              </w:rPr>
              <w:t>ICCAT adopted a Recovery Plan in 2006 and, as the stock recovered, this evolved into the current Management Plan (ICCAT, 2022) that includes a wide range of measures, including TACs and quotas, closed seasons, minimum sizes, and diverse control measures.</w:t>
            </w:r>
          </w:p>
          <w:p w14:paraId="1789B645" w14:textId="77777777" w:rsidR="005042A3" w:rsidRDefault="00982504">
            <w:pPr>
              <w:pStyle w:val="TableParagraph"/>
              <w:spacing w:before="120"/>
              <w:ind w:left="110" w:right="92"/>
              <w:jc w:val="both"/>
              <w:rPr>
                <w:sz w:val="20"/>
              </w:rPr>
            </w:pPr>
            <w:r>
              <w:rPr>
                <w:sz w:val="20"/>
              </w:rPr>
              <w:t>In addition, a management procedure was adopted in 2022 (ICCAT, 2023b). This procedure explicitly considers the mixing of the eastern and western bluefin tuna populations and is robust to main uncertainties, including alternative productivity regimes.</w:t>
            </w:r>
          </w:p>
        </w:tc>
      </w:tr>
      <w:tr w:rsidR="005042A3" w14:paraId="4C9D7860" w14:textId="77777777">
        <w:trPr>
          <w:trHeight w:val="4261"/>
        </w:trPr>
        <w:tc>
          <w:tcPr>
            <w:tcW w:w="2472" w:type="dxa"/>
          </w:tcPr>
          <w:p w14:paraId="4DA297DE" w14:textId="77777777" w:rsidR="005042A3" w:rsidRDefault="005042A3">
            <w:pPr>
              <w:pStyle w:val="TableParagraph"/>
              <w:rPr>
                <w:b/>
                <w:sz w:val="20"/>
              </w:rPr>
            </w:pPr>
          </w:p>
          <w:p w14:paraId="71A8FB35" w14:textId="77777777" w:rsidR="005042A3" w:rsidRDefault="005042A3">
            <w:pPr>
              <w:pStyle w:val="TableParagraph"/>
              <w:rPr>
                <w:b/>
                <w:sz w:val="20"/>
              </w:rPr>
            </w:pPr>
          </w:p>
          <w:p w14:paraId="7ABA1F1B" w14:textId="77777777" w:rsidR="005042A3" w:rsidRDefault="005042A3">
            <w:pPr>
              <w:pStyle w:val="TableParagraph"/>
              <w:rPr>
                <w:b/>
                <w:sz w:val="20"/>
              </w:rPr>
            </w:pPr>
          </w:p>
          <w:p w14:paraId="51483C94" w14:textId="77777777" w:rsidR="005042A3" w:rsidRDefault="005042A3">
            <w:pPr>
              <w:pStyle w:val="TableParagraph"/>
              <w:rPr>
                <w:b/>
                <w:sz w:val="20"/>
              </w:rPr>
            </w:pPr>
          </w:p>
          <w:p w14:paraId="5B48D7A6" w14:textId="77777777" w:rsidR="005042A3" w:rsidRDefault="005042A3">
            <w:pPr>
              <w:pStyle w:val="TableParagraph"/>
              <w:rPr>
                <w:b/>
                <w:sz w:val="20"/>
              </w:rPr>
            </w:pPr>
          </w:p>
          <w:p w14:paraId="1485EC00" w14:textId="77777777" w:rsidR="005042A3" w:rsidRDefault="005042A3">
            <w:pPr>
              <w:pStyle w:val="TableParagraph"/>
              <w:spacing w:before="238"/>
              <w:rPr>
                <w:b/>
                <w:sz w:val="20"/>
              </w:rPr>
            </w:pPr>
          </w:p>
          <w:p w14:paraId="70BB76AB" w14:textId="77777777" w:rsidR="005042A3" w:rsidRDefault="00982504">
            <w:pPr>
              <w:pStyle w:val="TableParagraph"/>
              <w:ind w:left="107" w:right="764"/>
              <w:rPr>
                <w:sz w:val="20"/>
              </w:rPr>
            </w:pPr>
            <w:r>
              <w:rPr>
                <w:spacing w:val="-2"/>
                <w:sz w:val="20"/>
              </w:rPr>
              <w:t>Conclusion (including management considerations)</w:t>
            </w:r>
          </w:p>
        </w:tc>
        <w:tc>
          <w:tcPr>
            <w:tcW w:w="7814" w:type="dxa"/>
          </w:tcPr>
          <w:p w14:paraId="62C46093" w14:textId="77777777" w:rsidR="005042A3" w:rsidRDefault="00982504">
            <w:pPr>
              <w:pStyle w:val="TableParagraph"/>
              <w:spacing w:before="119"/>
              <w:ind w:left="110" w:right="93"/>
              <w:jc w:val="both"/>
              <w:rPr>
                <w:sz w:val="20"/>
              </w:rPr>
            </w:pPr>
            <w:r>
              <w:rPr>
                <w:sz w:val="20"/>
              </w:rPr>
              <w:t>Although</w:t>
            </w:r>
            <w:r>
              <w:rPr>
                <w:spacing w:val="-8"/>
                <w:sz w:val="20"/>
              </w:rPr>
              <w:t xml:space="preserve"> </w:t>
            </w:r>
            <w:r>
              <w:rPr>
                <w:sz w:val="20"/>
              </w:rPr>
              <w:t>the</w:t>
            </w:r>
            <w:r>
              <w:rPr>
                <w:spacing w:val="-10"/>
                <w:sz w:val="20"/>
              </w:rPr>
              <w:t xml:space="preserve"> </w:t>
            </w:r>
            <w:r>
              <w:rPr>
                <w:sz w:val="20"/>
              </w:rPr>
              <w:t>current</w:t>
            </w:r>
            <w:r>
              <w:rPr>
                <w:spacing w:val="-8"/>
                <w:sz w:val="20"/>
              </w:rPr>
              <w:t xml:space="preserve"> </w:t>
            </w:r>
            <w:r>
              <w:rPr>
                <w:sz w:val="20"/>
              </w:rPr>
              <w:t>management</w:t>
            </w:r>
            <w:r>
              <w:rPr>
                <w:spacing w:val="-8"/>
                <w:sz w:val="20"/>
              </w:rPr>
              <w:t xml:space="preserve"> </w:t>
            </w:r>
            <w:r>
              <w:rPr>
                <w:sz w:val="20"/>
              </w:rPr>
              <w:t>plan</w:t>
            </w:r>
            <w:r>
              <w:rPr>
                <w:spacing w:val="-8"/>
                <w:sz w:val="20"/>
              </w:rPr>
              <w:t xml:space="preserve"> </w:t>
            </w:r>
            <w:r>
              <w:rPr>
                <w:sz w:val="20"/>
              </w:rPr>
              <w:t>accounts</w:t>
            </w:r>
            <w:r>
              <w:rPr>
                <w:spacing w:val="-9"/>
                <w:sz w:val="20"/>
              </w:rPr>
              <w:t xml:space="preserve"> </w:t>
            </w:r>
            <w:r>
              <w:rPr>
                <w:sz w:val="20"/>
              </w:rPr>
              <w:t>for</w:t>
            </w:r>
            <w:r>
              <w:rPr>
                <w:spacing w:val="-9"/>
                <w:sz w:val="20"/>
              </w:rPr>
              <w:t xml:space="preserve"> </w:t>
            </w:r>
            <w:r>
              <w:rPr>
                <w:sz w:val="20"/>
              </w:rPr>
              <w:t>mixing</w:t>
            </w:r>
            <w:r>
              <w:rPr>
                <w:spacing w:val="-11"/>
                <w:sz w:val="20"/>
              </w:rPr>
              <w:t xml:space="preserve"> </w:t>
            </w:r>
            <w:r>
              <w:rPr>
                <w:sz w:val="20"/>
              </w:rPr>
              <w:t>between</w:t>
            </w:r>
            <w:r>
              <w:rPr>
                <w:spacing w:val="-8"/>
                <w:sz w:val="20"/>
              </w:rPr>
              <w:t xml:space="preserve"> </w:t>
            </w:r>
            <w:r>
              <w:rPr>
                <w:sz w:val="20"/>
              </w:rPr>
              <w:t>the</w:t>
            </w:r>
            <w:r>
              <w:rPr>
                <w:spacing w:val="-10"/>
                <w:sz w:val="20"/>
              </w:rPr>
              <w:t xml:space="preserve"> </w:t>
            </w:r>
            <w:r>
              <w:rPr>
                <w:sz w:val="20"/>
              </w:rPr>
              <w:t>eastern</w:t>
            </w:r>
            <w:r>
              <w:rPr>
                <w:spacing w:val="-8"/>
                <w:sz w:val="20"/>
              </w:rPr>
              <w:t xml:space="preserve"> </w:t>
            </w:r>
            <w:r>
              <w:rPr>
                <w:sz w:val="20"/>
              </w:rPr>
              <w:t>and</w:t>
            </w:r>
            <w:r>
              <w:rPr>
                <w:spacing w:val="-8"/>
                <w:sz w:val="20"/>
              </w:rPr>
              <w:t xml:space="preserve"> </w:t>
            </w:r>
            <w:r>
              <w:rPr>
                <w:sz w:val="20"/>
              </w:rPr>
              <w:t>western populations, within the OSPAR regions bluefin tuna are expected to originate almost exclusively from the eastern population.</w:t>
            </w:r>
          </w:p>
          <w:p w14:paraId="22B9DB52" w14:textId="63FFA9EF" w:rsidR="005042A3" w:rsidRDefault="00982504">
            <w:pPr>
              <w:pStyle w:val="TableParagraph"/>
              <w:spacing w:before="122"/>
              <w:ind w:left="110" w:right="90"/>
              <w:jc w:val="both"/>
              <w:rPr>
                <w:sz w:val="20"/>
              </w:rPr>
            </w:pPr>
            <w:r>
              <w:rPr>
                <w:sz w:val="20"/>
              </w:rPr>
              <w:t xml:space="preserve">Based on the last ICCAT assessment, the status of eastern Atlantic bluefin tuna has clearly improved, and SSB for the last year (2020) in the current assessment is the largest since the 1960s. Bluefin tuna has expanded their distribution to </w:t>
            </w:r>
            <w:proofErr w:type="spellStart"/>
            <w:r>
              <w:rPr>
                <w:sz w:val="20"/>
              </w:rPr>
              <w:t>recolonise</w:t>
            </w:r>
            <w:proofErr w:type="spellEnd"/>
            <w:r>
              <w:rPr>
                <w:sz w:val="20"/>
              </w:rPr>
              <w:t xml:space="preserve"> Nordic waters after more than 50 years.</w:t>
            </w:r>
          </w:p>
          <w:p w14:paraId="4F1F8C30" w14:textId="77777777" w:rsidR="005042A3" w:rsidRDefault="00982504">
            <w:pPr>
              <w:pStyle w:val="TableParagraph"/>
              <w:spacing w:before="117"/>
              <w:ind w:left="110" w:right="92"/>
              <w:jc w:val="both"/>
              <w:rPr>
                <w:sz w:val="20"/>
              </w:rPr>
            </w:pPr>
            <w:r>
              <w:rPr>
                <w:sz w:val="20"/>
              </w:rPr>
              <w:t>The large reduction in fishing mortality and a shift in the pattern of selectivity to large fish is expected to have increased the mean age of the population.</w:t>
            </w:r>
          </w:p>
          <w:p w14:paraId="0851FE82" w14:textId="622729D0" w:rsidR="005042A3" w:rsidRDefault="00982504">
            <w:pPr>
              <w:pStyle w:val="TableParagraph"/>
              <w:spacing w:before="122"/>
              <w:ind w:left="110" w:right="88"/>
              <w:jc w:val="both"/>
              <w:rPr>
                <w:sz w:val="20"/>
              </w:rPr>
            </w:pPr>
            <w:r>
              <w:rPr>
                <w:sz w:val="20"/>
              </w:rPr>
              <w:t>The assessment is considered data rich, as it includes many sources of information including some</w:t>
            </w:r>
            <w:r>
              <w:rPr>
                <w:spacing w:val="-12"/>
                <w:sz w:val="20"/>
              </w:rPr>
              <w:t xml:space="preserve"> </w:t>
            </w:r>
            <w:r>
              <w:rPr>
                <w:sz w:val="20"/>
              </w:rPr>
              <w:t>fisheries</w:t>
            </w:r>
            <w:r>
              <w:rPr>
                <w:spacing w:val="-9"/>
                <w:sz w:val="20"/>
              </w:rPr>
              <w:t xml:space="preserve"> </w:t>
            </w:r>
            <w:r>
              <w:rPr>
                <w:sz w:val="20"/>
              </w:rPr>
              <w:t>independent</w:t>
            </w:r>
            <w:r>
              <w:rPr>
                <w:spacing w:val="-10"/>
                <w:sz w:val="20"/>
              </w:rPr>
              <w:t xml:space="preserve"> </w:t>
            </w:r>
            <w:r>
              <w:rPr>
                <w:sz w:val="20"/>
              </w:rPr>
              <w:t>surveys.</w:t>
            </w:r>
            <w:r>
              <w:rPr>
                <w:spacing w:val="-10"/>
                <w:sz w:val="20"/>
              </w:rPr>
              <w:t xml:space="preserve"> </w:t>
            </w:r>
            <w:r>
              <w:rPr>
                <w:sz w:val="20"/>
              </w:rPr>
              <w:t>Still,</w:t>
            </w:r>
            <w:r>
              <w:rPr>
                <w:spacing w:val="-10"/>
                <w:sz w:val="20"/>
              </w:rPr>
              <w:t xml:space="preserve"> </w:t>
            </w:r>
            <w:r>
              <w:rPr>
                <w:sz w:val="20"/>
              </w:rPr>
              <w:t>some</w:t>
            </w:r>
            <w:r>
              <w:rPr>
                <w:spacing w:val="-11"/>
                <w:sz w:val="20"/>
              </w:rPr>
              <w:t xml:space="preserve"> </w:t>
            </w:r>
            <w:r>
              <w:rPr>
                <w:sz w:val="20"/>
              </w:rPr>
              <w:t>key</w:t>
            </w:r>
            <w:r>
              <w:rPr>
                <w:spacing w:val="-10"/>
                <w:sz w:val="20"/>
              </w:rPr>
              <w:t xml:space="preserve"> </w:t>
            </w:r>
            <w:r>
              <w:rPr>
                <w:sz w:val="20"/>
              </w:rPr>
              <w:t>data</w:t>
            </w:r>
            <w:r>
              <w:rPr>
                <w:spacing w:val="-12"/>
                <w:sz w:val="20"/>
              </w:rPr>
              <w:t xml:space="preserve"> </w:t>
            </w:r>
            <w:r>
              <w:rPr>
                <w:sz w:val="20"/>
              </w:rPr>
              <w:t>sources</w:t>
            </w:r>
            <w:r>
              <w:rPr>
                <w:spacing w:val="-9"/>
                <w:sz w:val="20"/>
              </w:rPr>
              <w:t xml:space="preserve"> </w:t>
            </w:r>
            <w:r>
              <w:rPr>
                <w:sz w:val="20"/>
              </w:rPr>
              <w:t>(e.g.</w:t>
            </w:r>
            <w:r>
              <w:rPr>
                <w:spacing w:val="-10"/>
                <w:sz w:val="20"/>
              </w:rPr>
              <w:t xml:space="preserve"> </w:t>
            </w:r>
            <w:r>
              <w:rPr>
                <w:sz w:val="20"/>
              </w:rPr>
              <w:t>historical</w:t>
            </w:r>
            <w:r>
              <w:rPr>
                <w:spacing w:val="-10"/>
                <w:sz w:val="20"/>
              </w:rPr>
              <w:t xml:space="preserve"> </w:t>
            </w:r>
            <w:r>
              <w:rPr>
                <w:sz w:val="20"/>
              </w:rPr>
              <w:t>total</w:t>
            </w:r>
            <w:r>
              <w:rPr>
                <w:spacing w:val="-10"/>
                <w:sz w:val="20"/>
              </w:rPr>
              <w:t xml:space="preserve"> </w:t>
            </w:r>
            <w:r>
              <w:rPr>
                <w:sz w:val="20"/>
              </w:rPr>
              <w:t>catch</w:t>
            </w:r>
            <w:r>
              <w:rPr>
                <w:spacing w:val="-10"/>
                <w:sz w:val="20"/>
              </w:rPr>
              <w:t xml:space="preserve"> </w:t>
            </w:r>
            <w:r>
              <w:rPr>
                <w:sz w:val="20"/>
              </w:rPr>
              <w:t>and its</w:t>
            </w:r>
            <w:r>
              <w:rPr>
                <w:spacing w:val="-2"/>
                <w:sz w:val="20"/>
              </w:rPr>
              <w:t xml:space="preserve"> </w:t>
            </w:r>
            <w:r>
              <w:rPr>
                <w:sz w:val="20"/>
              </w:rPr>
              <w:t>size</w:t>
            </w:r>
            <w:r>
              <w:rPr>
                <w:spacing w:val="-4"/>
                <w:sz w:val="20"/>
              </w:rPr>
              <w:t xml:space="preserve"> </w:t>
            </w:r>
            <w:r>
              <w:rPr>
                <w:sz w:val="20"/>
              </w:rPr>
              <w:t>composition)</w:t>
            </w:r>
            <w:r>
              <w:rPr>
                <w:spacing w:val="-6"/>
                <w:sz w:val="20"/>
              </w:rPr>
              <w:t xml:space="preserve"> </w:t>
            </w:r>
            <w:r>
              <w:rPr>
                <w:sz w:val="20"/>
              </w:rPr>
              <w:t>are</w:t>
            </w:r>
            <w:r>
              <w:rPr>
                <w:spacing w:val="-4"/>
                <w:sz w:val="20"/>
              </w:rPr>
              <w:t xml:space="preserve"> </w:t>
            </w:r>
            <w:r>
              <w:rPr>
                <w:sz w:val="20"/>
              </w:rPr>
              <w:t>uncertain,</w:t>
            </w:r>
            <w:r>
              <w:rPr>
                <w:spacing w:val="-2"/>
                <w:sz w:val="20"/>
              </w:rPr>
              <w:t xml:space="preserve"> </w:t>
            </w:r>
            <w:r>
              <w:rPr>
                <w:sz w:val="20"/>
              </w:rPr>
              <w:t>and</w:t>
            </w:r>
            <w:r>
              <w:rPr>
                <w:spacing w:val="-5"/>
                <w:sz w:val="20"/>
              </w:rPr>
              <w:t xml:space="preserve"> </w:t>
            </w:r>
            <w:r>
              <w:rPr>
                <w:sz w:val="20"/>
              </w:rPr>
              <w:t>assessment</w:t>
            </w:r>
            <w:r>
              <w:rPr>
                <w:spacing w:val="-3"/>
                <w:sz w:val="20"/>
              </w:rPr>
              <w:t xml:space="preserve"> </w:t>
            </w:r>
            <w:r>
              <w:rPr>
                <w:sz w:val="20"/>
              </w:rPr>
              <w:t>results</w:t>
            </w:r>
            <w:r>
              <w:rPr>
                <w:spacing w:val="-4"/>
                <w:sz w:val="20"/>
              </w:rPr>
              <w:t xml:space="preserve"> </w:t>
            </w:r>
            <w:r>
              <w:rPr>
                <w:sz w:val="20"/>
              </w:rPr>
              <w:t>are</w:t>
            </w:r>
            <w:r>
              <w:rPr>
                <w:spacing w:val="-4"/>
                <w:sz w:val="20"/>
              </w:rPr>
              <w:t xml:space="preserve"> </w:t>
            </w:r>
            <w:r>
              <w:rPr>
                <w:sz w:val="20"/>
              </w:rPr>
              <w:t>sensitive</w:t>
            </w:r>
            <w:r>
              <w:rPr>
                <w:spacing w:val="-4"/>
                <w:sz w:val="20"/>
              </w:rPr>
              <w:t xml:space="preserve"> </w:t>
            </w:r>
            <w:r>
              <w:rPr>
                <w:sz w:val="20"/>
              </w:rPr>
              <w:t>to</w:t>
            </w:r>
            <w:r>
              <w:rPr>
                <w:spacing w:val="-3"/>
                <w:sz w:val="20"/>
              </w:rPr>
              <w:t xml:space="preserve"> </w:t>
            </w:r>
            <w:r>
              <w:rPr>
                <w:sz w:val="20"/>
              </w:rPr>
              <w:t>many</w:t>
            </w:r>
            <w:r>
              <w:rPr>
                <w:spacing w:val="-4"/>
                <w:sz w:val="20"/>
              </w:rPr>
              <w:t xml:space="preserve"> </w:t>
            </w:r>
            <w:r>
              <w:rPr>
                <w:sz w:val="20"/>
              </w:rPr>
              <w:t>assumptions. However,</w:t>
            </w:r>
            <w:r>
              <w:rPr>
                <w:spacing w:val="-6"/>
                <w:sz w:val="20"/>
              </w:rPr>
              <w:t xml:space="preserve"> </w:t>
            </w:r>
            <w:r>
              <w:rPr>
                <w:sz w:val="20"/>
              </w:rPr>
              <w:t>the</w:t>
            </w:r>
            <w:r>
              <w:rPr>
                <w:spacing w:val="-5"/>
                <w:sz w:val="20"/>
              </w:rPr>
              <w:t xml:space="preserve"> </w:t>
            </w:r>
            <w:r>
              <w:rPr>
                <w:sz w:val="20"/>
              </w:rPr>
              <w:t>management</w:t>
            </w:r>
            <w:r>
              <w:rPr>
                <w:spacing w:val="-6"/>
                <w:sz w:val="20"/>
              </w:rPr>
              <w:t xml:space="preserve"> </w:t>
            </w:r>
            <w:r>
              <w:rPr>
                <w:sz w:val="20"/>
              </w:rPr>
              <w:t>procedure</w:t>
            </w:r>
            <w:r>
              <w:rPr>
                <w:spacing w:val="-8"/>
                <w:sz w:val="20"/>
              </w:rPr>
              <w:t xml:space="preserve"> </w:t>
            </w:r>
            <w:r>
              <w:rPr>
                <w:sz w:val="20"/>
              </w:rPr>
              <w:t>has</w:t>
            </w:r>
            <w:r>
              <w:rPr>
                <w:spacing w:val="-6"/>
                <w:sz w:val="20"/>
              </w:rPr>
              <w:t xml:space="preserve"> </w:t>
            </w:r>
            <w:r>
              <w:rPr>
                <w:sz w:val="20"/>
              </w:rPr>
              <w:t>been</w:t>
            </w:r>
            <w:r>
              <w:rPr>
                <w:spacing w:val="-6"/>
                <w:sz w:val="20"/>
              </w:rPr>
              <w:t xml:space="preserve"> </w:t>
            </w:r>
            <w:r>
              <w:rPr>
                <w:sz w:val="20"/>
              </w:rPr>
              <w:t>tested</w:t>
            </w:r>
            <w:r>
              <w:rPr>
                <w:spacing w:val="-6"/>
                <w:sz w:val="20"/>
              </w:rPr>
              <w:t xml:space="preserve"> </w:t>
            </w:r>
            <w:r>
              <w:rPr>
                <w:sz w:val="20"/>
              </w:rPr>
              <w:t>to</w:t>
            </w:r>
            <w:r>
              <w:rPr>
                <w:spacing w:val="-6"/>
                <w:sz w:val="20"/>
              </w:rPr>
              <w:t xml:space="preserve"> </w:t>
            </w:r>
            <w:r>
              <w:rPr>
                <w:sz w:val="20"/>
              </w:rPr>
              <w:t>be</w:t>
            </w:r>
            <w:r>
              <w:rPr>
                <w:spacing w:val="-8"/>
                <w:sz w:val="20"/>
              </w:rPr>
              <w:t xml:space="preserve"> </w:t>
            </w:r>
            <w:r>
              <w:rPr>
                <w:sz w:val="20"/>
              </w:rPr>
              <w:t>robust</w:t>
            </w:r>
            <w:r>
              <w:rPr>
                <w:spacing w:val="-6"/>
                <w:sz w:val="20"/>
              </w:rPr>
              <w:t xml:space="preserve"> </w:t>
            </w:r>
            <w:r>
              <w:rPr>
                <w:sz w:val="20"/>
              </w:rPr>
              <w:t>to</w:t>
            </w:r>
            <w:r>
              <w:rPr>
                <w:spacing w:val="-6"/>
                <w:sz w:val="20"/>
              </w:rPr>
              <w:t xml:space="preserve"> </w:t>
            </w:r>
            <w:r>
              <w:rPr>
                <w:sz w:val="20"/>
              </w:rPr>
              <w:t>the</w:t>
            </w:r>
            <w:r>
              <w:rPr>
                <w:spacing w:val="-8"/>
                <w:sz w:val="20"/>
              </w:rPr>
              <w:t xml:space="preserve"> </w:t>
            </w:r>
            <w:r>
              <w:rPr>
                <w:sz w:val="20"/>
              </w:rPr>
              <w:t>main</w:t>
            </w:r>
            <w:r>
              <w:rPr>
                <w:spacing w:val="-6"/>
                <w:sz w:val="20"/>
              </w:rPr>
              <w:t xml:space="preserve"> </w:t>
            </w:r>
            <w:r>
              <w:rPr>
                <w:sz w:val="20"/>
              </w:rPr>
              <w:t>uncertainties, so</w:t>
            </w:r>
            <w:r>
              <w:rPr>
                <w:spacing w:val="-2"/>
                <w:sz w:val="20"/>
              </w:rPr>
              <w:t xml:space="preserve"> </w:t>
            </w:r>
            <w:r>
              <w:rPr>
                <w:sz w:val="20"/>
              </w:rPr>
              <w:t>there</w:t>
            </w:r>
            <w:r>
              <w:rPr>
                <w:spacing w:val="-3"/>
                <w:sz w:val="20"/>
              </w:rPr>
              <w:t xml:space="preserve"> </w:t>
            </w:r>
            <w:r>
              <w:rPr>
                <w:sz w:val="20"/>
              </w:rPr>
              <w:t>is</w:t>
            </w:r>
            <w:r>
              <w:rPr>
                <w:spacing w:val="-1"/>
                <w:sz w:val="20"/>
              </w:rPr>
              <w:t xml:space="preserve"> </w:t>
            </w:r>
            <w:r>
              <w:rPr>
                <w:sz w:val="20"/>
              </w:rPr>
              <w:t>good</w:t>
            </w:r>
            <w:r>
              <w:rPr>
                <w:spacing w:val="-1"/>
                <w:sz w:val="20"/>
              </w:rPr>
              <w:t xml:space="preserve"> </w:t>
            </w:r>
            <w:r>
              <w:rPr>
                <w:sz w:val="20"/>
              </w:rPr>
              <w:t>confidence in</w:t>
            </w:r>
            <w:r>
              <w:rPr>
                <w:spacing w:val="-1"/>
                <w:sz w:val="20"/>
              </w:rPr>
              <w:t xml:space="preserve"> </w:t>
            </w:r>
            <w:r>
              <w:rPr>
                <w:sz w:val="20"/>
              </w:rPr>
              <w:t>that</w:t>
            </w:r>
            <w:r>
              <w:rPr>
                <w:spacing w:val="-2"/>
                <w:sz w:val="20"/>
              </w:rPr>
              <w:t xml:space="preserve"> </w:t>
            </w:r>
            <w:r>
              <w:rPr>
                <w:sz w:val="20"/>
              </w:rPr>
              <w:t>the</w:t>
            </w:r>
            <w:r>
              <w:rPr>
                <w:spacing w:val="-3"/>
                <w:sz w:val="20"/>
              </w:rPr>
              <w:t xml:space="preserve"> </w:t>
            </w:r>
            <w:r>
              <w:rPr>
                <w:sz w:val="20"/>
              </w:rPr>
              <w:t>catch</w:t>
            </w:r>
            <w:r>
              <w:rPr>
                <w:spacing w:val="-1"/>
                <w:sz w:val="20"/>
              </w:rPr>
              <w:t xml:space="preserve"> </w:t>
            </w:r>
            <w:r>
              <w:rPr>
                <w:sz w:val="20"/>
              </w:rPr>
              <w:t>levels</w:t>
            </w:r>
            <w:r>
              <w:rPr>
                <w:spacing w:val="-1"/>
                <w:sz w:val="20"/>
              </w:rPr>
              <w:t xml:space="preserve"> </w:t>
            </w:r>
            <w:r>
              <w:rPr>
                <w:sz w:val="20"/>
              </w:rPr>
              <w:t>based</w:t>
            </w:r>
            <w:r>
              <w:rPr>
                <w:spacing w:val="-1"/>
                <w:sz w:val="20"/>
              </w:rPr>
              <w:t xml:space="preserve"> </w:t>
            </w:r>
            <w:r>
              <w:rPr>
                <w:sz w:val="20"/>
              </w:rPr>
              <w:t>on</w:t>
            </w:r>
            <w:r>
              <w:rPr>
                <w:spacing w:val="-1"/>
                <w:sz w:val="20"/>
              </w:rPr>
              <w:t xml:space="preserve"> </w:t>
            </w:r>
            <w:r>
              <w:rPr>
                <w:sz w:val="20"/>
              </w:rPr>
              <w:t>this</w:t>
            </w:r>
            <w:r>
              <w:rPr>
                <w:spacing w:val="-1"/>
                <w:sz w:val="20"/>
              </w:rPr>
              <w:t xml:space="preserve"> </w:t>
            </w:r>
            <w:r>
              <w:rPr>
                <w:sz w:val="20"/>
              </w:rPr>
              <w:t>management</w:t>
            </w:r>
            <w:r>
              <w:rPr>
                <w:spacing w:val="-2"/>
                <w:sz w:val="20"/>
              </w:rPr>
              <w:t xml:space="preserve"> </w:t>
            </w:r>
            <w:r>
              <w:rPr>
                <w:sz w:val="20"/>
              </w:rPr>
              <w:t>procedure</w:t>
            </w:r>
            <w:r>
              <w:rPr>
                <w:spacing w:val="-3"/>
                <w:sz w:val="20"/>
              </w:rPr>
              <w:t xml:space="preserve"> </w:t>
            </w:r>
            <w:r>
              <w:rPr>
                <w:sz w:val="20"/>
              </w:rPr>
              <w:t>will keep both populations in good status.</w:t>
            </w:r>
          </w:p>
        </w:tc>
      </w:tr>
      <w:tr w:rsidR="005042A3" w14:paraId="31C7CE1F" w14:textId="77777777">
        <w:trPr>
          <w:trHeight w:val="2675"/>
        </w:trPr>
        <w:tc>
          <w:tcPr>
            <w:tcW w:w="2472" w:type="dxa"/>
          </w:tcPr>
          <w:p w14:paraId="501FC8BA" w14:textId="77777777" w:rsidR="005042A3" w:rsidRDefault="005042A3">
            <w:pPr>
              <w:pStyle w:val="TableParagraph"/>
              <w:rPr>
                <w:b/>
                <w:sz w:val="20"/>
              </w:rPr>
            </w:pPr>
          </w:p>
          <w:p w14:paraId="6E6456D8" w14:textId="77777777" w:rsidR="005042A3" w:rsidRDefault="005042A3">
            <w:pPr>
              <w:pStyle w:val="TableParagraph"/>
              <w:rPr>
                <w:b/>
                <w:sz w:val="20"/>
              </w:rPr>
            </w:pPr>
          </w:p>
          <w:p w14:paraId="1A647D0E" w14:textId="77777777" w:rsidR="005042A3" w:rsidRDefault="005042A3">
            <w:pPr>
              <w:pStyle w:val="TableParagraph"/>
              <w:rPr>
                <w:b/>
                <w:sz w:val="20"/>
              </w:rPr>
            </w:pPr>
          </w:p>
          <w:p w14:paraId="1C1E3ACF" w14:textId="77777777" w:rsidR="005042A3" w:rsidRDefault="005042A3">
            <w:pPr>
              <w:pStyle w:val="TableParagraph"/>
              <w:rPr>
                <w:b/>
                <w:sz w:val="20"/>
              </w:rPr>
            </w:pPr>
          </w:p>
          <w:p w14:paraId="4EC2DDEE" w14:textId="77777777" w:rsidR="005042A3" w:rsidRDefault="005042A3">
            <w:pPr>
              <w:pStyle w:val="TableParagraph"/>
              <w:spacing w:before="55"/>
              <w:rPr>
                <w:b/>
                <w:sz w:val="20"/>
              </w:rPr>
            </w:pPr>
          </w:p>
          <w:p w14:paraId="24C8DF49" w14:textId="77777777" w:rsidR="005042A3" w:rsidRDefault="00982504">
            <w:pPr>
              <w:pStyle w:val="TableParagraph"/>
              <w:ind w:left="107"/>
              <w:rPr>
                <w:sz w:val="20"/>
              </w:rPr>
            </w:pPr>
            <w:r>
              <w:rPr>
                <w:spacing w:val="-2"/>
                <w:sz w:val="20"/>
              </w:rPr>
              <w:t>Knowledge</w:t>
            </w:r>
            <w:r>
              <w:rPr>
                <w:spacing w:val="5"/>
                <w:sz w:val="20"/>
              </w:rPr>
              <w:t xml:space="preserve"> </w:t>
            </w:r>
            <w:r>
              <w:rPr>
                <w:spacing w:val="-4"/>
                <w:sz w:val="20"/>
              </w:rPr>
              <w:t>gaps</w:t>
            </w:r>
          </w:p>
        </w:tc>
        <w:tc>
          <w:tcPr>
            <w:tcW w:w="7814" w:type="dxa"/>
          </w:tcPr>
          <w:p w14:paraId="492AB59B" w14:textId="77777777" w:rsidR="005042A3" w:rsidRDefault="00982504">
            <w:pPr>
              <w:pStyle w:val="TableParagraph"/>
              <w:spacing w:before="119"/>
              <w:ind w:left="110" w:right="91"/>
              <w:jc w:val="both"/>
              <w:rPr>
                <w:sz w:val="20"/>
              </w:rPr>
            </w:pPr>
            <w:r>
              <w:rPr>
                <w:sz w:val="20"/>
              </w:rPr>
              <w:t>Further research on stock structure and the location of spawning grounds will improve the understanding of stock mixing and potential climate resilience.</w:t>
            </w:r>
          </w:p>
          <w:p w14:paraId="0685DD18" w14:textId="77777777" w:rsidR="005042A3" w:rsidRDefault="00982504">
            <w:pPr>
              <w:pStyle w:val="TableParagraph"/>
              <w:spacing w:before="121"/>
              <w:ind w:left="110" w:right="93"/>
              <w:jc w:val="both"/>
              <w:rPr>
                <w:sz w:val="20"/>
              </w:rPr>
            </w:pPr>
            <w:r>
              <w:rPr>
                <w:sz w:val="20"/>
              </w:rPr>
              <w:t xml:space="preserve">The persistence and relative importance of newly found spawning grounds in the Slope Sea warrants further investigation (Hernandez </w:t>
            </w:r>
            <w:r>
              <w:rPr>
                <w:i/>
                <w:sz w:val="20"/>
              </w:rPr>
              <w:t>et al</w:t>
            </w:r>
            <w:r>
              <w:rPr>
                <w:sz w:val="20"/>
              </w:rPr>
              <w:t xml:space="preserve">., 2022; Diaz-Arce </w:t>
            </w:r>
            <w:r>
              <w:rPr>
                <w:i/>
                <w:sz w:val="20"/>
              </w:rPr>
              <w:t>at al</w:t>
            </w:r>
            <w:r>
              <w:rPr>
                <w:sz w:val="20"/>
              </w:rPr>
              <w:t>., 2024).</w:t>
            </w:r>
          </w:p>
          <w:p w14:paraId="587F96C4" w14:textId="77777777" w:rsidR="005042A3" w:rsidRDefault="00982504">
            <w:pPr>
              <w:pStyle w:val="TableParagraph"/>
              <w:spacing w:before="119"/>
              <w:ind w:left="110" w:right="89"/>
              <w:jc w:val="both"/>
              <w:rPr>
                <w:sz w:val="20"/>
              </w:rPr>
            </w:pPr>
            <w:r>
              <w:rPr>
                <w:sz w:val="20"/>
              </w:rPr>
              <w:t>The</w:t>
            </w:r>
            <w:r>
              <w:rPr>
                <w:spacing w:val="-11"/>
                <w:sz w:val="20"/>
              </w:rPr>
              <w:t xml:space="preserve"> </w:t>
            </w:r>
            <w:r>
              <w:rPr>
                <w:sz w:val="20"/>
              </w:rPr>
              <w:t>current</w:t>
            </w:r>
            <w:r>
              <w:rPr>
                <w:spacing w:val="-8"/>
                <w:sz w:val="20"/>
              </w:rPr>
              <w:t xml:space="preserve"> </w:t>
            </w:r>
            <w:r>
              <w:rPr>
                <w:sz w:val="20"/>
              </w:rPr>
              <w:t>management</w:t>
            </w:r>
            <w:r>
              <w:rPr>
                <w:spacing w:val="-10"/>
                <w:sz w:val="20"/>
              </w:rPr>
              <w:t xml:space="preserve"> </w:t>
            </w:r>
            <w:r>
              <w:rPr>
                <w:sz w:val="20"/>
              </w:rPr>
              <w:t>procedure</w:t>
            </w:r>
            <w:r>
              <w:rPr>
                <w:spacing w:val="-11"/>
                <w:sz w:val="20"/>
              </w:rPr>
              <w:t xml:space="preserve"> </w:t>
            </w:r>
            <w:r>
              <w:rPr>
                <w:sz w:val="20"/>
              </w:rPr>
              <w:t>is</w:t>
            </w:r>
            <w:r>
              <w:rPr>
                <w:spacing w:val="-9"/>
                <w:sz w:val="20"/>
              </w:rPr>
              <w:t xml:space="preserve"> </w:t>
            </w:r>
            <w:r>
              <w:rPr>
                <w:sz w:val="20"/>
              </w:rPr>
              <w:t>expected</w:t>
            </w:r>
            <w:r>
              <w:rPr>
                <w:spacing w:val="-9"/>
                <w:sz w:val="20"/>
              </w:rPr>
              <w:t xml:space="preserve"> </w:t>
            </w:r>
            <w:r>
              <w:rPr>
                <w:sz w:val="20"/>
              </w:rPr>
              <w:t>to</w:t>
            </w:r>
            <w:r>
              <w:rPr>
                <w:spacing w:val="-10"/>
                <w:sz w:val="20"/>
              </w:rPr>
              <w:t xml:space="preserve"> </w:t>
            </w:r>
            <w:r>
              <w:rPr>
                <w:sz w:val="20"/>
              </w:rPr>
              <w:t>be</w:t>
            </w:r>
            <w:r>
              <w:rPr>
                <w:spacing w:val="-11"/>
                <w:sz w:val="20"/>
              </w:rPr>
              <w:t xml:space="preserve"> </w:t>
            </w:r>
            <w:r>
              <w:rPr>
                <w:sz w:val="20"/>
              </w:rPr>
              <w:t>revised</w:t>
            </w:r>
            <w:r>
              <w:rPr>
                <w:spacing w:val="-9"/>
                <w:sz w:val="20"/>
              </w:rPr>
              <w:t xml:space="preserve"> </w:t>
            </w:r>
            <w:r>
              <w:rPr>
                <w:sz w:val="20"/>
              </w:rPr>
              <w:t>in</w:t>
            </w:r>
            <w:r>
              <w:rPr>
                <w:spacing w:val="-9"/>
                <w:sz w:val="20"/>
              </w:rPr>
              <w:t xml:space="preserve"> </w:t>
            </w:r>
            <w:r>
              <w:rPr>
                <w:sz w:val="20"/>
              </w:rPr>
              <w:t>2028.</w:t>
            </w:r>
            <w:r>
              <w:rPr>
                <w:spacing w:val="-10"/>
                <w:sz w:val="20"/>
              </w:rPr>
              <w:t xml:space="preserve"> </w:t>
            </w:r>
            <w:r>
              <w:rPr>
                <w:sz w:val="20"/>
              </w:rPr>
              <w:t>Further</w:t>
            </w:r>
            <w:r>
              <w:rPr>
                <w:spacing w:val="-10"/>
                <w:sz w:val="20"/>
              </w:rPr>
              <w:t xml:space="preserve"> </w:t>
            </w:r>
            <w:r>
              <w:rPr>
                <w:sz w:val="20"/>
              </w:rPr>
              <w:t>research</w:t>
            </w:r>
            <w:r>
              <w:rPr>
                <w:spacing w:val="-9"/>
                <w:sz w:val="20"/>
              </w:rPr>
              <w:t xml:space="preserve"> </w:t>
            </w:r>
            <w:r>
              <w:rPr>
                <w:sz w:val="20"/>
              </w:rPr>
              <w:t>on</w:t>
            </w:r>
            <w:r>
              <w:rPr>
                <w:spacing w:val="-9"/>
                <w:sz w:val="20"/>
              </w:rPr>
              <w:t xml:space="preserve"> </w:t>
            </w:r>
            <w:r>
              <w:rPr>
                <w:sz w:val="20"/>
              </w:rPr>
              <w:t xml:space="preserve">the </w:t>
            </w:r>
            <w:r>
              <w:rPr>
                <w:spacing w:val="-2"/>
                <w:sz w:val="20"/>
              </w:rPr>
              <w:t>effects of climate</w:t>
            </w:r>
            <w:r>
              <w:rPr>
                <w:spacing w:val="-4"/>
                <w:sz w:val="20"/>
              </w:rPr>
              <w:t xml:space="preserve"> </w:t>
            </w:r>
            <w:r>
              <w:rPr>
                <w:spacing w:val="-2"/>
                <w:sz w:val="20"/>
              </w:rPr>
              <w:t>change on the</w:t>
            </w:r>
            <w:r>
              <w:rPr>
                <w:spacing w:val="-4"/>
                <w:sz w:val="20"/>
              </w:rPr>
              <w:t xml:space="preserve"> </w:t>
            </w:r>
            <w:r>
              <w:rPr>
                <w:spacing w:val="-2"/>
                <w:sz w:val="20"/>
              </w:rPr>
              <w:t>productivity of</w:t>
            </w:r>
            <w:r>
              <w:rPr>
                <w:spacing w:val="-4"/>
                <w:sz w:val="20"/>
              </w:rPr>
              <w:t xml:space="preserve"> </w:t>
            </w:r>
            <w:r>
              <w:rPr>
                <w:spacing w:val="-2"/>
                <w:sz w:val="20"/>
              </w:rPr>
              <w:t>the</w:t>
            </w:r>
            <w:r>
              <w:rPr>
                <w:spacing w:val="-4"/>
                <w:sz w:val="20"/>
              </w:rPr>
              <w:t xml:space="preserve"> </w:t>
            </w:r>
            <w:proofErr w:type="gramStart"/>
            <w:r>
              <w:rPr>
                <w:spacing w:val="-2"/>
                <w:sz w:val="20"/>
              </w:rPr>
              <w:t>stock,</w:t>
            </w:r>
            <w:proofErr w:type="gramEnd"/>
            <w:r>
              <w:rPr>
                <w:spacing w:val="-2"/>
                <w:sz w:val="20"/>
              </w:rPr>
              <w:t xml:space="preserve"> would be</w:t>
            </w:r>
            <w:r>
              <w:rPr>
                <w:spacing w:val="-4"/>
                <w:sz w:val="20"/>
              </w:rPr>
              <w:t xml:space="preserve"> </w:t>
            </w:r>
            <w:r>
              <w:rPr>
                <w:spacing w:val="-2"/>
                <w:sz w:val="20"/>
              </w:rPr>
              <w:t>an important</w:t>
            </w:r>
            <w:r>
              <w:rPr>
                <w:spacing w:val="-3"/>
                <w:sz w:val="20"/>
              </w:rPr>
              <w:t xml:space="preserve"> </w:t>
            </w:r>
            <w:r>
              <w:rPr>
                <w:spacing w:val="-2"/>
                <w:sz w:val="20"/>
              </w:rPr>
              <w:t xml:space="preserve">consideration </w:t>
            </w:r>
            <w:r>
              <w:rPr>
                <w:sz w:val="20"/>
              </w:rPr>
              <w:t>during the next review of the management procedure. The maturity schedule and natural mortality are important biological parameters for improving the assessments that deserve additional research.</w:t>
            </w:r>
          </w:p>
        </w:tc>
      </w:tr>
      <w:tr w:rsidR="005042A3" w14:paraId="34F4EC8D" w14:textId="77777777">
        <w:trPr>
          <w:trHeight w:val="3410"/>
        </w:trPr>
        <w:tc>
          <w:tcPr>
            <w:tcW w:w="2472" w:type="dxa"/>
          </w:tcPr>
          <w:p w14:paraId="593B4AD6" w14:textId="77777777" w:rsidR="005042A3" w:rsidRDefault="005042A3">
            <w:pPr>
              <w:pStyle w:val="TableParagraph"/>
              <w:rPr>
                <w:b/>
                <w:sz w:val="20"/>
              </w:rPr>
            </w:pPr>
          </w:p>
          <w:p w14:paraId="52B2C9D5" w14:textId="77777777" w:rsidR="005042A3" w:rsidRDefault="005042A3">
            <w:pPr>
              <w:pStyle w:val="TableParagraph"/>
              <w:rPr>
                <w:b/>
                <w:sz w:val="20"/>
              </w:rPr>
            </w:pPr>
          </w:p>
          <w:p w14:paraId="2FF5E545" w14:textId="77777777" w:rsidR="005042A3" w:rsidRDefault="005042A3">
            <w:pPr>
              <w:pStyle w:val="TableParagraph"/>
              <w:rPr>
                <w:b/>
                <w:sz w:val="20"/>
              </w:rPr>
            </w:pPr>
          </w:p>
          <w:p w14:paraId="07694955" w14:textId="77777777" w:rsidR="005042A3" w:rsidRDefault="005042A3">
            <w:pPr>
              <w:pStyle w:val="TableParagraph"/>
              <w:rPr>
                <w:b/>
                <w:sz w:val="20"/>
              </w:rPr>
            </w:pPr>
          </w:p>
          <w:p w14:paraId="6D2EFD5F" w14:textId="77777777" w:rsidR="005042A3" w:rsidRDefault="005042A3">
            <w:pPr>
              <w:pStyle w:val="TableParagraph"/>
              <w:rPr>
                <w:b/>
                <w:sz w:val="20"/>
              </w:rPr>
            </w:pPr>
          </w:p>
          <w:p w14:paraId="3EBB07E5" w14:textId="77777777" w:rsidR="005042A3" w:rsidRDefault="005042A3">
            <w:pPr>
              <w:pStyle w:val="TableParagraph"/>
              <w:spacing w:before="180"/>
              <w:rPr>
                <w:b/>
                <w:sz w:val="20"/>
              </w:rPr>
            </w:pPr>
          </w:p>
          <w:p w14:paraId="282AA2B3" w14:textId="77777777" w:rsidR="005042A3" w:rsidRDefault="00982504">
            <w:pPr>
              <w:pStyle w:val="TableParagraph"/>
              <w:ind w:left="107"/>
              <w:rPr>
                <w:sz w:val="20"/>
              </w:rPr>
            </w:pPr>
            <w:r>
              <w:rPr>
                <w:spacing w:val="-2"/>
                <w:sz w:val="20"/>
              </w:rPr>
              <w:t>References</w:t>
            </w:r>
          </w:p>
        </w:tc>
        <w:tc>
          <w:tcPr>
            <w:tcW w:w="7814" w:type="dxa"/>
          </w:tcPr>
          <w:p w14:paraId="06B083F3" w14:textId="77777777" w:rsidR="005042A3" w:rsidRDefault="00982504">
            <w:pPr>
              <w:pStyle w:val="TableParagraph"/>
              <w:spacing w:before="121"/>
              <w:ind w:left="110" w:right="91"/>
              <w:jc w:val="both"/>
              <w:rPr>
                <w:sz w:val="20"/>
              </w:rPr>
            </w:pPr>
            <w:r>
              <w:rPr>
                <w:sz w:val="20"/>
              </w:rPr>
              <w:t xml:space="preserve">Aarestrup, K., Baktoft, H., Birnie-Gauvin, K., </w:t>
            </w:r>
            <w:proofErr w:type="spellStart"/>
            <w:r>
              <w:rPr>
                <w:sz w:val="20"/>
              </w:rPr>
              <w:t>Sundelöf</w:t>
            </w:r>
            <w:proofErr w:type="spellEnd"/>
            <w:r>
              <w:rPr>
                <w:sz w:val="20"/>
              </w:rPr>
              <w:t xml:space="preserve">, A., Cardinale, M., Quilez-Badia, G., </w:t>
            </w:r>
            <w:proofErr w:type="spellStart"/>
            <w:r>
              <w:rPr>
                <w:sz w:val="20"/>
              </w:rPr>
              <w:t>Onandia</w:t>
            </w:r>
            <w:proofErr w:type="spellEnd"/>
            <w:r>
              <w:rPr>
                <w:sz w:val="20"/>
              </w:rPr>
              <w:t xml:space="preserve">, I., </w:t>
            </w:r>
            <w:r>
              <w:rPr>
                <w:i/>
                <w:sz w:val="20"/>
              </w:rPr>
              <w:t>et al</w:t>
            </w:r>
            <w:r>
              <w:rPr>
                <w:sz w:val="20"/>
              </w:rPr>
              <w:t xml:space="preserve">. 2022. First tagging data on large Atlantic bluefin tuna returning to Nordic waters suggest repeated </w:t>
            </w:r>
            <w:proofErr w:type="spellStart"/>
            <w:r>
              <w:rPr>
                <w:sz w:val="20"/>
              </w:rPr>
              <w:t>behaviour</w:t>
            </w:r>
            <w:proofErr w:type="spellEnd"/>
            <w:r>
              <w:rPr>
                <w:sz w:val="20"/>
              </w:rPr>
              <w:t xml:space="preserve"> and skipped spawning. Scientific Reports 12: 11772. </w:t>
            </w:r>
            <w:hyperlink r:id="rId17">
              <w:r>
                <w:rPr>
                  <w:color w:val="0000FF"/>
                  <w:spacing w:val="-2"/>
                  <w:sz w:val="20"/>
                  <w:u w:val="single" w:color="0000FF"/>
                </w:rPr>
                <w:t>https://doi.org/10.1038/s41598-022-15819-x</w:t>
              </w:r>
            </w:hyperlink>
          </w:p>
          <w:p w14:paraId="3CC2A95D" w14:textId="77777777" w:rsidR="005042A3" w:rsidRDefault="00982504">
            <w:pPr>
              <w:pStyle w:val="TableParagraph"/>
              <w:spacing w:before="120"/>
              <w:ind w:left="109" w:right="91"/>
              <w:jc w:val="both"/>
              <w:rPr>
                <w:sz w:val="20"/>
              </w:rPr>
            </w:pPr>
            <w:r>
              <w:rPr>
                <w:sz w:val="20"/>
              </w:rPr>
              <w:t xml:space="preserve">Dedman, S., Aalto, E. A., </w:t>
            </w:r>
            <w:proofErr w:type="spellStart"/>
            <w:r>
              <w:rPr>
                <w:sz w:val="20"/>
              </w:rPr>
              <w:t>Stokesbury</w:t>
            </w:r>
            <w:proofErr w:type="spellEnd"/>
            <w:r>
              <w:rPr>
                <w:sz w:val="20"/>
              </w:rPr>
              <w:t xml:space="preserve">, M. J., Schallert, R. J., Castleton, M. R. and Block, B. A. 2023. Assignment of tracks from tagged Atlantic bluefin tuna </w:t>
            </w:r>
            <w:r>
              <w:rPr>
                <w:i/>
                <w:sz w:val="20"/>
              </w:rPr>
              <w:t xml:space="preserve">Thunnus thynnus </w:t>
            </w:r>
            <w:r>
              <w:rPr>
                <w:sz w:val="20"/>
              </w:rPr>
              <w:t xml:space="preserve">to potential stocks using </w:t>
            </w:r>
            <w:proofErr w:type="spellStart"/>
            <w:r>
              <w:rPr>
                <w:sz w:val="20"/>
              </w:rPr>
              <w:t>behavioural</w:t>
            </w:r>
            <w:proofErr w:type="spellEnd"/>
            <w:r>
              <w:rPr>
                <w:sz w:val="20"/>
              </w:rPr>
              <w:t xml:space="preserve"> differences and habitat partitioning. Frontiers in Marine Science 10: 1165910. </w:t>
            </w:r>
            <w:hyperlink r:id="rId18">
              <w:r>
                <w:rPr>
                  <w:color w:val="0000FF"/>
                  <w:sz w:val="20"/>
                  <w:u w:val="single" w:color="0000FF"/>
                </w:rPr>
                <w:t>https://doi.org/10.3389/fmars.2023.1165910</w:t>
              </w:r>
            </w:hyperlink>
          </w:p>
          <w:p w14:paraId="12E83572" w14:textId="77777777" w:rsidR="005042A3" w:rsidRDefault="00982504">
            <w:pPr>
              <w:pStyle w:val="TableParagraph"/>
              <w:spacing w:before="121"/>
              <w:ind w:left="110"/>
              <w:jc w:val="both"/>
              <w:rPr>
                <w:sz w:val="20"/>
              </w:rPr>
            </w:pPr>
            <w:r>
              <w:rPr>
                <w:sz w:val="20"/>
              </w:rPr>
              <w:t>Díaz-Arce,</w:t>
            </w:r>
            <w:r>
              <w:rPr>
                <w:spacing w:val="-1"/>
                <w:sz w:val="20"/>
              </w:rPr>
              <w:t xml:space="preserve"> </w:t>
            </w:r>
            <w:r>
              <w:rPr>
                <w:sz w:val="20"/>
              </w:rPr>
              <w:t xml:space="preserve">N., </w:t>
            </w:r>
            <w:proofErr w:type="spellStart"/>
            <w:r>
              <w:rPr>
                <w:sz w:val="20"/>
              </w:rPr>
              <w:t>Gagnaire</w:t>
            </w:r>
            <w:proofErr w:type="spellEnd"/>
            <w:r>
              <w:rPr>
                <w:sz w:val="20"/>
              </w:rPr>
              <w:t>,</w:t>
            </w:r>
            <w:r>
              <w:rPr>
                <w:spacing w:val="-1"/>
                <w:sz w:val="20"/>
              </w:rPr>
              <w:t xml:space="preserve"> </w:t>
            </w:r>
            <w:r>
              <w:rPr>
                <w:sz w:val="20"/>
              </w:rPr>
              <w:t>P-A.,</w:t>
            </w:r>
            <w:r>
              <w:rPr>
                <w:spacing w:val="2"/>
                <w:sz w:val="20"/>
              </w:rPr>
              <w:t xml:space="preserve"> </w:t>
            </w:r>
            <w:r>
              <w:rPr>
                <w:sz w:val="20"/>
              </w:rPr>
              <w:t>Richardson, D.</w:t>
            </w:r>
            <w:r>
              <w:rPr>
                <w:spacing w:val="-1"/>
                <w:sz w:val="20"/>
              </w:rPr>
              <w:t xml:space="preserve"> </w:t>
            </w:r>
            <w:r>
              <w:rPr>
                <w:sz w:val="20"/>
              </w:rPr>
              <w:t>E., Walter</w:t>
            </w:r>
            <w:r>
              <w:rPr>
                <w:spacing w:val="-1"/>
                <w:sz w:val="20"/>
              </w:rPr>
              <w:t xml:space="preserve"> </w:t>
            </w:r>
            <w:r>
              <w:rPr>
                <w:sz w:val="20"/>
              </w:rPr>
              <w:t>III, J. F.,</w:t>
            </w:r>
            <w:r>
              <w:rPr>
                <w:spacing w:val="-1"/>
                <w:sz w:val="20"/>
              </w:rPr>
              <w:t xml:space="preserve"> </w:t>
            </w:r>
            <w:r>
              <w:rPr>
                <w:sz w:val="20"/>
              </w:rPr>
              <w:t>Arnaud-Haond, S.,</w:t>
            </w:r>
            <w:r>
              <w:rPr>
                <w:spacing w:val="-1"/>
                <w:sz w:val="20"/>
              </w:rPr>
              <w:t xml:space="preserve"> </w:t>
            </w:r>
            <w:proofErr w:type="spellStart"/>
            <w:r>
              <w:rPr>
                <w:spacing w:val="-2"/>
                <w:sz w:val="20"/>
              </w:rPr>
              <w:t>Fromentin</w:t>
            </w:r>
            <w:proofErr w:type="spellEnd"/>
            <w:r>
              <w:rPr>
                <w:spacing w:val="-2"/>
                <w:sz w:val="20"/>
              </w:rPr>
              <w:t>,</w:t>
            </w:r>
          </w:p>
          <w:p w14:paraId="71571607" w14:textId="77777777" w:rsidR="005042A3" w:rsidRDefault="00982504">
            <w:pPr>
              <w:pStyle w:val="TableParagraph"/>
              <w:ind w:left="110" w:right="91"/>
              <w:jc w:val="both"/>
              <w:rPr>
                <w:sz w:val="20"/>
              </w:rPr>
            </w:pPr>
            <w:r w:rsidRPr="00982504">
              <w:rPr>
                <w:sz w:val="20"/>
                <w:lang w:val="da-DK"/>
              </w:rPr>
              <w:t xml:space="preserve">J. M., Brophy, D., </w:t>
            </w:r>
            <w:r w:rsidRPr="00982504">
              <w:rPr>
                <w:i/>
                <w:sz w:val="20"/>
                <w:lang w:val="da-DK"/>
              </w:rPr>
              <w:t>et al</w:t>
            </w:r>
            <w:r w:rsidRPr="00982504">
              <w:rPr>
                <w:sz w:val="20"/>
                <w:lang w:val="da-DK"/>
              </w:rPr>
              <w:t xml:space="preserve">. 2024. </w:t>
            </w:r>
            <w:r>
              <w:rPr>
                <w:sz w:val="20"/>
              </w:rPr>
              <w:t xml:space="preserve">Unidirectional trans-Atlantic gene flow and a mixed spawning area shape the genetic connectivity of Atlantic bluefin tuna. Molecular Ecology 33: e17188. </w:t>
            </w:r>
            <w:hyperlink r:id="rId19">
              <w:r>
                <w:rPr>
                  <w:color w:val="0000FF"/>
                  <w:spacing w:val="-2"/>
                  <w:sz w:val="20"/>
                  <w:u w:val="single" w:color="0000FF"/>
                </w:rPr>
                <w:t>https://doi.org/10.1111/mec.17188</w:t>
              </w:r>
            </w:hyperlink>
          </w:p>
        </w:tc>
      </w:tr>
    </w:tbl>
    <w:p w14:paraId="3323A72E" w14:textId="77777777" w:rsidR="005042A3" w:rsidRDefault="005042A3">
      <w:pPr>
        <w:pStyle w:val="TableParagraph"/>
        <w:jc w:val="both"/>
        <w:rPr>
          <w:sz w:val="20"/>
        </w:rPr>
        <w:sectPr w:rsidR="005042A3">
          <w:type w:val="continuous"/>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2"/>
        <w:gridCol w:w="7814"/>
      </w:tblGrid>
      <w:tr w:rsidR="005042A3" w14:paraId="08374A3E" w14:textId="77777777">
        <w:trPr>
          <w:trHeight w:val="10597"/>
        </w:trPr>
        <w:tc>
          <w:tcPr>
            <w:tcW w:w="2472" w:type="dxa"/>
          </w:tcPr>
          <w:p w14:paraId="79D14DE6" w14:textId="77777777" w:rsidR="005042A3" w:rsidRDefault="005042A3">
            <w:pPr>
              <w:pStyle w:val="TableParagraph"/>
              <w:rPr>
                <w:rFonts w:ascii="Times New Roman"/>
                <w:sz w:val="18"/>
              </w:rPr>
            </w:pPr>
          </w:p>
        </w:tc>
        <w:tc>
          <w:tcPr>
            <w:tcW w:w="7814" w:type="dxa"/>
          </w:tcPr>
          <w:p w14:paraId="6DA6679D" w14:textId="77777777" w:rsidR="005042A3" w:rsidRDefault="00982504">
            <w:pPr>
              <w:pStyle w:val="TableParagraph"/>
              <w:spacing w:before="1"/>
              <w:ind w:left="110" w:right="90"/>
              <w:jc w:val="both"/>
              <w:rPr>
                <w:sz w:val="20"/>
              </w:rPr>
            </w:pPr>
            <w:proofErr w:type="spellStart"/>
            <w:r>
              <w:rPr>
                <w:sz w:val="20"/>
              </w:rPr>
              <w:t>Erauskin-Extramiana</w:t>
            </w:r>
            <w:proofErr w:type="spellEnd"/>
            <w:r>
              <w:rPr>
                <w:sz w:val="20"/>
              </w:rPr>
              <w:t>,</w:t>
            </w:r>
            <w:r>
              <w:rPr>
                <w:spacing w:val="-1"/>
                <w:sz w:val="20"/>
              </w:rPr>
              <w:t xml:space="preserve"> </w:t>
            </w:r>
            <w:r>
              <w:rPr>
                <w:sz w:val="20"/>
              </w:rPr>
              <w:t>M.,</w:t>
            </w:r>
            <w:r>
              <w:rPr>
                <w:spacing w:val="-1"/>
                <w:sz w:val="20"/>
              </w:rPr>
              <w:t xml:space="preserve"> </w:t>
            </w:r>
            <w:r>
              <w:rPr>
                <w:sz w:val="20"/>
              </w:rPr>
              <w:t>Arrizabalaga,</w:t>
            </w:r>
            <w:r>
              <w:rPr>
                <w:spacing w:val="-1"/>
                <w:sz w:val="20"/>
              </w:rPr>
              <w:t xml:space="preserve"> </w:t>
            </w:r>
            <w:r>
              <w:rPr>
                <w:sz w:val="20"/>
              </w:rPr>
              <w:t>H.,</w:t>
            </w:r>
            <w:r>
              <w:rPr>
                <w:spacing w:val="-1"/>
                <w:sz w:val="20"/>
              </w:rPr>
              <w:t xml:space="preserve"> </w:t>
            </w:r>
            <w:r>
              <w:rPr>
                <w:sz w:val="20"/>
              </w:rPr>
              <w:t>Hobday,</w:t>
            </w:r>
            <w:r>
              <w:rPr>
                <w:spacing w:val="-1"/>
                <w:sz w:val="20"/>
              </w:rPr>
              <w:t xml:space="preserve"> </w:t>
            </w:r>
            <w:r>
              <w:rPr>
                <w:sz w:val="20"/>
              </w:rPr>
              <w:t>A.</w:t>
            </w:r>
            <w:r>
              <w:rPr>
                <w:spacing w:val="-4"/>
                <w:sz w:val="20"/>
              </w:rPr>
              <w:t xml:space="preserve"> </w:t>
            </w:r>
            <w:r>
              <w:rPr>
                <w:sz w:val="20"/>
              </w:rPr>
              <w:t>J.,</w:t>
            </w:r>
            <w:r>
              <w:rPr>
                <w:spacing w:val="-1"/>
                <w:sz w:val="20"/>
              </w:rPr>
              <w:t xml:space="preserve"> </w:t>
            </w:r>
            <w:proofErr w:type="spellStart"/>
            <w:r>
              <w:rPr>
                <w:sz w:val="20"/>
              </w:rPr>
              <w:t>Cabré</w:t>
            </w:r>
            <w:proofErr w:type="spellEnd"/>
            <w:r>
              <w:rPr>
                <w:sz w:val="20"/>
              </w:rPr>
              <w:t>,</w:t>
            </w:r>
            <w:r>
              <w:rPr>
                <w:spacing w:val="-1"/>
                <w:sz w:val="20"/>
              </w:rPr>
              <w:t xml:space="preserve"> </w:t>
            </w:r>
            <w:r>
              <w:rPr>
                <w:sz w:val="20"/>
              </w:rPr>
              <w:t>A.,</w:t>
            </w:r>
            <w:r>
              <w:rPr>
                <w:spacing w:val="-1"/>
                <w:sz w:val="20"/>
              </w:rPr>
              <w:t xml:space="preserve"> </w:t>
            </w:r>
            <w:proofErr w:type="spellStart"/>
            <w:r>
              <w:rPr>
                <w:sz w:val="20"/>
              </w:rPr>
              <w:t>Ibaibarriaga</w:t>
            </w:r>
            <w:proofErr w:type="spellEnd"/>
            <w:r>
              <w:rPr>
                <w:sz w:val="20"/>
              </w:rPr>
              <w:t>,</w:t>
            </w:r>
            <w:r>
              <w:rPr>
                <w:spacing w:val="-1"/>
                <w:sz w:val="20"/>
              </w:rPr>
              <w:t xml:space="preserve"> </w:t>
            </w:r>
            <w:r>
              <w:rPr>
                <w:sz w:val="20"/>
              </w:rPr>
              <w:t>L.,</w:t>
            </w:r>
            <w:r>
              <w:rPr>
                <w:spacing w:val="-1"/>
                <w:sz w:val="20"/>
              </w:rPr>
              <w:t xml:space="preserve"> </w:t>
            </w:r>
            <w:r>
              <w:rPr>
                <w:sz w:val="20"/>
              </w:rPr>
              <w:t>Arregui,</w:t>
            </w:r>
            <w:r>
              <w:rPr>
                <w:spacing w:val="-1"/>
                <w:sz w:val="20"/>
              </w:rPr>
              <w:t xml:space="preserve"> </w:t>
            </w:r>
            <w:r>
              <w:rPr>
                <w:sz w:val="20"/>
              </w:rPr>
              <w:t xml:space="preserve">I., Murua, H., and </w:t>
            </w:r>
            <w:proofErr w:type="spellStart"/>
            <w:r>
              <w:rPr>
                <w:sz w:val="20"/>
              </w:rPr>
              <w:t>Chust</w:t>
            </w:r>
            <w:proofErr w:type="spellEnd"/>
            <w:r>
              <w:rPr>
                <w:sz w:val="20"/>
              </w:rPr>
              <w:t xml:space="preserve">, G. 2019. Large-scale distribution of tuna species in a warming ocean. Global change biology 25: 2043−2060. </w:t>
            </w:r>
            <w:hyperlink r:id="rId20">
              <w:r>
                <w:rPr>
                  <w:color w:val="0000FF"/>
                  <w:sz w:val="20"/>
                  <w:u w:val="single" w:color="0000FF"/>
                </w:rPr>
                <w:t>https://doi.org/10.1111/gcb.14630</w:t>
              </w:r>
            </w:hyperlink>
          </w:p>
          <w:p w14:paraId="23E1E401" w14:textId="77777777" w:rsidR="005042A3" w:rsidRDefault="00982504">
            <w:pPr>
              <w:pStyle w:val="TableParagraph"/>
              <w:spacing w:before="120"/>
              <w:ind w:left="110" w:right="92"/>
              <w:jc w:val="both"/>
              <w:rPr>
                <w:sz w:val="20"/>
              </w:rPr>
            </w:pPr>
            <w:proofErr w:type="spellStart"/>
            <w:r>
              <w:rPr>
                <w:sz w:val="20"/>
              </w:rPr>
              <w:t>Faillettaz</w:t>
            </w:r>
            <w:proofErr w:type="spellEnd"/>
            <w:r>
              <w:rPr>
                <w:sz w:val="20"/>
              </w:rPr>
              <w:t xml:space="preserve">, R., Beaugrand, G., Goberville, E. and Kirby, R. R. 2019. Atlantic Multidecadal Oscillations drive the basin-scale distribution of Atlantic bluefin tuna. Science advances 5: eaar6993. </w:t>
            </w:r>
            <w:hyperlink r:id="rId21">
              <w:r>
                <w:rPr>
                  <w:color w:val="0000FF"/>
                  <w:sz w:val="20"/>
                  <w:u w:val="single" w:color="0000FF"/>
                </w:rPr>
                <w:t>https://doi.org/10.1126/sciadv.aar6993</w:t>
              </w:r>
            </w:hyperlink>
          </w:p>
          <w:p w14:paraId="2BF4B87B" w14:textId="77777777" w:rsidR="005042A3" w:rsidRDefault="00982504">
            <w:pPr>
              <w:pStyle w:val="TableParagraph"/>
              <w:spacing w:before="119"/>
              <w:ind w:left="110" w:right="91"/>
              <w:jc w:val="both"/>
              <w:rPr>
                <w:sz w:val="20"/>
              </w:rPr>
            </w:pPr>
            <w:r>
              <w:rPr>
                <w:sz w:val="20"/>
              </w:rPr>
              <w:t>Fraile, I., Arrizabalaga, H. and Rooker, J. R. 2015. Origin of Atlantic bluefin tuna (</w:t>
            </w:r>
            <w:r>
              <w:rPr>
                <w:i/>
                <w:sz w:val="20"/>
              </w:rPr>
              <w:t>Thunnus thynnus</w:t>
            </w:r>
            <w:r>
              <w:rPr>
                <w:sz w:val="20"/>
              </w:rPr>
              <w:t xml:space="preserve">) in the Bay of Biscay. ICES Journal of Marine Science 72: 625−634. </w:t>
            </w:r>
            <w:hyperlink r:id="rId22">
              <w:r>
                <w:rPr>
                  <w:color w:val="0000FF"/>
                  <w:spacing w:val="-2"/>
                  <w:sz w:val="20"/>
                  <w:u w:val="single" w:color="0000FF"/>
                </w:rPr>
                <w:t>https://doi.org/10.1093/icesjms/fsu156</w:t>
              </w:r>
            </w:hyperlink>
          </w:p>
          <w:p w14:paraId="66561069" w14:textId="77777777" w:rsidR="005042A3" w:rsidRDefault="00982504">
            <w:pPr>
              <w:pStyle w:val="TableParagraph"/>
              <w:spacing w:before="120"/>
              <w:ind w:left="109" w:right="90"/>
              <w:jc w:val="both"/>
              <w:rPr>
                <w:sz w:val="20"/>
              </w:rPr>
            </w:pPr>
            <w:r>
              <w:rPr>
                <w:sz w:val="20"/>
              </w:rPr>
              <w:t xml:space="preserve">Hernández, C. M., Richardson, D. E., </w:t>
            </w:r>
            <w:proofErr w:type="spellStart"/>
            <w:r>
              <w:rPr>
                <w:sz w:val="20"/>
              </w:rPr>
              <w:t>Rypina</w:t>
            </w:r>
            <w:proofErr w:type="spellEnd"/>
            <w:r>
              <w:rPr>
                <w:sz w:val="20"/>
              </w:rPr>
              <w:t xml:space="preserve">, I. I., Chen, K., </w:t>
            </w:r>
            <w:proofErr w:type="spellStart"/>
            <w:r>
              <w:rPr>
                <w:sz w:val="20"/>
              </w:rPr>
              <w:t>Marancik</w:t>
            </w:r>
            <w:proofErr w:type="spellEnd"/>
            <w:r>
              <w:rPr>
                <w:sz w:val="20"/>
              </w:rPr>
              <w:t>, K. E., Shulzitski,</w:t>
            </w:r>
            <w:r>
              <w:rPr>
                <w:spacing w:val="-1"/>
                <w:sz w:val="20"/>
              </w:rPr>
              <w:t xml:space="preserve"> </w:t>
            </w:r>
            <w:r>
              <w:rPr>
                <w:sz w:val="20"/>
              </w:rPr>
              <w:t xml:space="preserve">K. and Llopiz, J. K. 2022. Support for the Slope Sea as a major spawning ground for Atlantic bluefin tuna: evidence from larval abundance, growth rates, and particle-tracking simulations. Canadian Journal of Fisheries and Aquatic Sciences 79: 814−824. </w:t>
            </w:r>
            <w:hyperlink r:id="rId23">
              <w:r>
                <w:rPr>
                  <w:color w:val="0000FF"/>
                  <w:spacing w:val="-2"/>
                  <w:sz w:val="20"/>
                  <w:u w:val="single" w:color="0000FF"/>
                </w:rPr>
                <w:t>https://doi.org/10.1139/cjfas-2020-0444</w:t>
              </w:r>
            </w:hyperlink>
          </w:p>
          <w:p w14:paraId="0EC08229" w14:textId="77777777" w:rsidR="005042A3" w:rsidRDefault="00982504">
            <w:pPr>
              <w:pStyle w:val="TableParagraph"/>
              <w:spacing w:before="121"/>
              <w:ind w:left="110" w:right="91"/>
              <w:jc w:val="both"/>
              <w:rPr>
                <w:sz w:val="20"/>
              </w:rPr>
            </w:pPr>
            <w:r>
              <w:rPr>
                <w:sz w:val="20"/>
              </w:rPr>
              <w:t>ICCAT.</w:t>
            </w:r>
            <w:r>
              <w:rPr>
                <w:spacing w:val="-2"/>
                <w:sz w:val="20"/>
              </w:rPr>
              <w:t xml:space="preserve"> </w:t>
            </w:r>
            <w:r>
              <w:rPr>
                <w:sz w:val="20"/>
              </w:rPr>
              <w:t>2022.</w:t>
            </w:r>
            <w:r>
              <w:rPr>
                <w:spacing w:val="-2"/>
                <w:sz w:val="20"/>
              </w:rPr>
              <w:t xml:space="preserve"> </w:t>
            </w:r>
            <w:r>
              <w:rPr>
                <w:sz w:val="20"/>
              </w:rPr>
              <w:t>Recommendation</w:t>
            </w:r>
            <w:r>
              <w:rPr>
                <w:spacing w:val="-1"/>
                <w:sz w:val="20"/>
              </w:rPr>
              <w:t xml:space="preserve"> </w:t>
            </w:r>
            <w:r>
              <w:rPr>
                <w:sz w:val="20"/>
              </w:rPr>
              <w:t>by</w:t>
            </w:r>
            <w:r>
              <w:rPr>
                <w:spacing w:val="-1"/>
                <w:sz w:val="20"/>
              </w:rPr>
              <w:t xml:space="preserve"> </w:t>
            </w:r>
            <w:r>
              <w:rPr>
                <w:sz w:val="20"/>
              </w:rPr>
              <w:t>ICCAT</w:t>
            </w:r>
            <w:r>
              <w:rPr>
                <w:spacing w:val="-3"/>
                <w:sz w:val="20"/>
              </w:rPr>
              <w:t xml:space="preserve"> </w:t>
            </w:r>
            <w:r>
              <w:rPr>
                <w:sz w:val="20"/>
              </w:rPr>
              <w:t>amending</w:t>
            </w:r>
            <w:r>
              <w:rPr>
                <w:spacing w:val="-2"/>
                <w:sz w:val="20"/>
              </w:rPr>
              <w:t xml:space="preserve"> </w:t>
            </w:r>
            <w:r>
              <w:rPr>
                <w:sz w:val="20"/>
              </w:rPr>
              <w:t>the</w:t>
            </w:r>
            <w:r>
              <w:rPr>
                <w:spacing w:val="-2"/>
                <w:sz w:val="20"/>
              </w:rPr>
              <w:t xml:space="preserve"> </w:t>
            </w:r>
            <w:r>
              <w:rPr>
                <w:sz w:val="20"/>
              </w:rPr>
              <w:t>recommendation</w:t>
            </w:r>
            <w:r>
              <w:rPr>
                <w:spacing w:val="-1"/>
                <w:sz w:val="20"/>
              </w:rPr>
              <w:t xml:space="preserve"> </w:t>
            </w:r>
            <w:r>
              <w:rPr>
                <w:sz w:val="20"/>
              </w:rPr>
              <w:t>21-08 establishing</w:t>
            </w:r>
            <w:r>
              <w:rPr>
                <w:spacing w:val="-2"/>
                <w:sz w:val="20"/>
              </w:rPr>
              <w:t xml:space="preserve"> </w:t>
            </w:r>
            <w:r>
              <w:rPr>
                <w:sz w:val="20"/>
              </w:rPr>
              <w:t>a multi-annual</w:t>
            </w:r>
            <w:r>
              <w:rPr>
                <w:spacing w:val="-9"/>
                <w:sz w:val="20"/>
              </w:rPr>
              <w:t xml:space="preserve"> </w:t>
            </w:r>
            <w:r>
              <w:rPr>
                <w:sz w:val="20"/>
              </w:rPr>
              <w:t>management</w:t>
            </w:r>
            <w:r>
              <w:rPr>
                <w:spacing w:val="-8"/>
                <w:sz w:val="20"/>
              </w:rPr>
              <w:t xml:space="preserve"> </w:t>
            </w:r>
            <w:r>
              <w:rPr>
                <w:sz w:val="20"/>
              </w:rPr>
              <w:t>plan</w:t>
            </w:r>
            <w:r>
              <w:rPr>
                <w:spacing w:val="-8"/>
                <w:sz w:val="20"/>
              </w:rPr>
              <w:t xml:space="preserve"> </w:t>
            </w:r>
            <w:r>
              <w:rPr>
                <w:sz w:val="20"/>
              </w:rPr>
              <w:t>for</w:t>
            </w:r>
            <w:r>
              <w:rPr>
                <w:spacing w:val="-9"/>
                <w:sz w:val="20"/>
              </w:rPr>
              <w:t xml:space="preserve"> </w:t>
            </w:r>
            <w:r>
              <w:rPr>
                <w:sz w:val="20"/>
              </w:rPr>
              <w:t>bluefin</w:t>
            </w:r>
            <w:r>
              <w:rPr>
                <w:spacing w:val="-8"/>
                <w:sz w:val="20"/>
              </w:rPr>
              <w:t xml:space="preserve"> </w:t>
            </w:r>
            <w:r>
              <w:rPr>
                <w:sz w:val="20"/>
              </w:rPr>
              <w:t>tuna</w:t>
            </w:r>
            <w:r>
              <w:rPr>
                <w:spacing w:val="-8"/>
                <w:sz w:val="20"/>
              </w:rPr>
              <w:t xml:space="preserve"> </w:t>
            </w:r>
            <w:r>
              <w:rPr>
                <w:sz w:val="20"/>
              </w:rPr>
              <w:t>in</w:t>
            </w:r>
            <w:r>
              <w:rPr>
                <w:spacing w:val="-10"/>
                <w:sz w:val="20"/>
              </w:rPr>
              <w:t xml:space="preserve"> </w:t>
            </w:r>
            <w:r>
              <w:rPr>
                <w:sz w:val="20"/>
              </w:rPr>
              <w:t>the</w:t>
            </w:r>
            <w:r>
              <w:rPr>
                <w:spacing w:val="-10"/>
                <w:sz w:val="20"/>
              </w:rPr>
              <w:t xml:space="preserve"> </w:t>
            </w:r>
            <w:r>
              <w:rPr>
                <w:sz w:val="20"/>
              </w:rPr>
              <w:t>eastern</w:t>
            </w:r>
            <w:r>
              <w:rPr>
                <w:spacing w:val="-8"/>
                <w:sz w:val="20"/>
              </w:rPr>
              <w:t xml:space="preserve"> </w:t>
            </w:r>
            <w:r>
              <w:rPr>
                <w:sz w:val="20"/>
              </w:rPr>
              <w:t>Atlantic</w:t>
            </w:r>
            <w:r>
              <w:rPr>
                <w:spacing w:val="-9"/>
                <w:sz w:val="20"/>
              </w:rPr>
              <w:t xml:space="preserve"> </w:t>
            </w:r>
            <w:r>
              <w:rPr>
                <w:sz w:val="20"/>
              </w:rPr>
              <w:t>and</w:t>
            </w:r>
            <w:r>
              <w:rPr>
                <w:spacing w:val="-8"/>
                <w:sz w:val="20"/>
              </w:rPr>
              <w:t xml:space="preserve"> </w:t>
            </w:r>
            <w:r>
              <w:rPr>
                <w:sz w:val="20"/>
              </w:rPr>
              <w:t>the</w:t>
            </w:r>
            <w:r>
              <w:rPr>
                <w:spacing w:val="-10"/>
                <w:sz w:val="20"/>
              </w:rPr>
              <w:t xml:space="preserve"> </w:t>
            </w:r>
            <w:r>
              <w:rPr>
                <w:sz w:val="20"/>
              </w:rPr>
              <w:t xml:space="preserve">Mediterranean </w:t>
            </w:r>
            <w:hyperlink r:id="rId24">
              <w:r>
                <w:rPr>
                  <w:color w:val="0000FF"/>
                  <w:spacing w:val="-2"/>
                  <w:sz w:val="20"/>
                  <w:u w:val="single" w:color="0000FF"/>
                </w:rPr>
                <w:t>https://www.iccat.int/Documents/Recs/compendiopdf-e/2022-08-e.pdf</w:t>
              </w:r>
            </w:hyperlink>
          </w:p>
          <w:p w14:paraId="0A4E1599" w14:textId="77777777" w:rsidR="005042A3" w:rsidRDefault="00982504">
            <w:pPr>
              <w:pStyle w:val="TableParagraph"/>
              <w:tabs>
                <w:tab w:val="left" w:pos="1936"/>
                <w:tab w:val="left" w:pos="3055"/>
                <w:tab w:val="left" w:pos="4072"/>
                <w:tab w:val="left" w:pos="5524"/>
                <w:tab w:val="left" w:pos="6592"/>
                <w:tab w:val="left" w:pos="7451"/>
              </w:tabs>
              <w:spacing w:before="119"/>
              <w:ind w:left="110" w:right="91"/>
              <w:jc w:val="both"/>
              <w:rPr>
                <w:sz w:val="20"/>
              </w:rPr>
            </w:pPr>
            <w:r>
              <w:rPr>
                <w:sz w:val="20"/>
              </w:rPr>
              <w:t xml:space="preserve">ICCAT. 2023a. Report of the Standing Committee on Research and Statistics (SCRS) </w:t>
            </w:r>
            <w:r>
              <w:rPr>
                <w:spacing w:val="-2"/>
                <w:sz w:val="20"/>
              </w:rPr>
              <w:t>(Hybrid/Madrid</w:t>
            </w:r>
            <w:r>
              <w:rPr>
                <w:sz w:val="20"/>
              </w:rPr>
              <w:tab/>
            </w:r>
            <w:r>
              <w:rPr>
                <w:spacing w:val="-2"/>
                <w:sz w:val="20"/>
              </w:rPr>
              <w:t>(Spain)</w:t>
            </w:r>
            <w:r>
              <w:rPr>
                <w:sz w:val="20"/>
              </w:rPr>
              <w:tab/>
            </w:r>
            <w:r>
              <w:rPr>
                <w:spacing w:val="-4"/>
                <w:sz w:val="20"/>
              </w:rPr>
              <w:t>25-29</w:t>
            </w:r>
            <w:r>
              <w:rPr>
                <w:sz w:val="20"/>
              </w:rPr>
              <w:tab/>
            </w:r>
            <w:r>
              <w:rPr>
                <w:spacing w:val="-2"/>
                <w:sz w:val="20"/>
              </w:rPr>
              <w:t>September</w:t>
            </w:r>
            <w:r>
              <w:rPr>
                <w:sz w:val="20"/>
              </w:rPr>
              <w:tab/>
            </w:r>
            <w:r>
              <w:rPr>
                <w:spacing w:val="-2"/>
                <w:sz w:val="20"/>
              </w:rPr>
              <w:t>2023).</w:t>
            </w:r>
            <w:r>
              <w:rPr>
                <w:sz w:val="20"/>
              </w:rPr>
              <w:tab/>
            </w:r>
            <w:r>
              <w:rPr>
                <w:spacing w:val="-4"/>
                <w:sz w:val="20"/>
              </w:rPr>
              <w:t>618</w:t>
            </w:r>
            <w:r>
              <w:rPr>
                <w:sz w:val="20"/>
              </w:rPr>
              <w:tab/>
            </w:r>
            <w:r>
              <w:rPr>
                <w:spacing w:val="-4"/>
                <w:sz w:val="20"/>
              </w:rPr>
              <w:t xml:space="preserve">pp. </w:t>
            </w:r>
            <w:hyperlink r:id="rId25">
              <w:r>
                <w:rPr>
                  <w:color w:val="0000FF"/>
                  <w:spacing w:val="-2"/>
                  <w:sz w:val="20"/>
                  <w:u w:val="single" w:color="0000FF"/>
                </w:rPr>
                <w:t>https://www.iccat.int/Documents/Meetings/Docs/2023/REPORTS/2023_SCRS_ENG.pdf</w:t>
              </w:r>
              <w:r>
                <w:rPr>
                  <w:spacing w:val="-2"/>
                  <w:sz w:val="20"/>
                </w:rPr>
                <w:t>.</w:t>
              </w:r>
            </w:hyperlink>
          </w:p>
          <w:p w14:paraId="709F329F" w14:textId="77777777" w:rsidR="005042A3" w:rsidRDefault="00982504">
            <w:pPr>
              <w:pStyle w:val="TableParagraph"/>
              <w:tabs>
                <w:tab w:val="left" w:pos="1384"/>
                <w:tab w:val="left" w:pos="2672"/>
                <w:tab w:val="left" w:pos="3640"/>
                <w:tab w:val="left" w:pos="5528"/>
                <w:tab w:val="left" w:pos="7270"/>
              </w:tabs>
              <w:spacing w:before="120"/>
              <w:ind w:left="110" w:right="89"/>
              <w:jc w:val="both"/>
              <w:rPr>
                <w:sz w:val="20"/>
              </w:rPr>
            </w:pPr>
            <w:r>
              <w:rPr>
                <w:sz w:val="20"/>
              </w:rPr>
              <w:t>ICCAT. 2023b. Recommendation by ICCAT amending recommendation 22-09 establishing a management</w:t>
            </w:r>
            <w:r>
              <w:rPr>
                <w:spacing w:val="-3"/>
                <w:sz w:val="20"/>
              </w:rPr>
              <w:t xml:space="preserve"> </w:t>
            </w:r>
            <w:r>
              <w:rPr>
                <w:sz w:val="20"/>
              </w:rPr>
              <w:t>procedure</w:t>
            </w:r>
            <w:r>
              <w:rPr>
                <w:spacing w:val="-4"/>
                <w:sz w:val="20"/>
              </w:rPr>
              <w:t xml:space="preserve"> </w:t>
            </w:r>
            <w:r>
              <w:rPr>
                <w:sz w:val="20"/>
              </w:rPr>
              <w:t>for</w:t>
            </w:r>
            <w:r>
              <w:rPr>
                <w:spacing w:val="-3"/>
                <w:sz w:val="20"/>
              </w:rPr>
              <w:t xml:space="preserve"> </w:t>
            </w:r>
            <w:r>
              <w:rPr>
                <w:sz w:val="20"/>
              </w:rPr>
              <w:t>Atlantic</w:t>
            </w:r>
            <w:r>
              <w:rPr>
                <w:spacing w:val="-3"/>
                <w:sz w:val="20"/>
              </w:rPr>
              <w:t xml:space="preserve"> </w:t>
            </w:r>
            <w:r>
              <w:rPr>
                <w:sz w:val="20"/>
              </w:rPr>
              <w:t>bluefin</w:t>
            </w:r>
            <w:r>
              <w:rPr>
                <w:spacing w:val="-2"/>
                <w:sz w:val="20"/>
              </w:rPr>
              <w:t xml:space="preserve"> </w:t>
            </w:r>
            <w:r>
              <w:rPr>
                <w:sz w:val="20"/>
              </w:rPr>
              <w:t>tuna</w:t>
            </w:r>
            <w:r>
              <w:rPr>
                <w:spacing w:val="-5"/>
                <w:sz w:val="20"/>
              </w:rPr>
              <w:t xml:space="preserve"> </w:t>
            </w:r>
            <w:r>
              <w:rPr>
                <w:sz w:val="20"/>
              </w:rPr>
              <w:t>to</w:t>
            </w:r>
            <w:r>
              <w:rPr>
                <w:spacing w:val="-5"/>
                <w:sz w:val="20"/>
              </w:rPr>
              <w:t xml:space="preserve"> </w:t>
            </w:r>
            <w:r>
              <w:rPr>
                <w:sz w:val="20"/>
              </w:rPr>
              <w:t>be</w:t>
            </w:r>
            <w:r>
              <w:rPr>
                <w:spacing w:val="-4"/>
                <w:sz w:val="20"/>
              </w:rPr>
              <w:t xml:space="preserve"> </w:t>
            </w:r>
            <w:r>
              <w:rPr>
                <w:sz w:val="20"/>
              </w:rPr>
              <w:t>used</w:t>
            </w:r>
            <w:r>
              <w:rPr>
                <w:spacing w:val="-5"/>
                <w:sz w:val="20"/>
              </w:rPr>
              <w:t xml:space="preserve"> </w:t>
            </w:r>
            <w:r>
              <w:rPr>
                <w:sz w:val="20"/>
              </w:rPr>
              <w:t>for</w:t>
            </w:r>
            <w:r>
              <w:rPr>
                <w:spacing w:val="-3"/>
                <w:sz w:val="20"/>
              </w:rPr>
              <w:t xml:space="preserve"> </w:t>
            </w:r>
            <w:r>
              <w:rPr>
                <w:sz w:val="20"/>
              </w:rPr>
              <w:t>both</w:t>
            </w:r>
            <w:r>
              <w:rPr>
                <w:spacing w:val="-5"/>
                <w:sz w:val="20"/>
              </w:rPr>
              <w:t xml:space="preserve"> </w:t>
            </w:r>
            <w:r>
              <w:rPr>
                <w:sz w:val="20"/>
              </w:rPr>
              <w:t>the</w:t>
            </w:r>
            <w:r>
              <w:rPr>
                <w:spacing w:val="-4"/>
                <w:sz w:val="20"/>
              </w:rPr>
              <w:t xml:space="preserve"> </w:t>
            </w:r>
            <w:r>
              <w:rPr>
                <w:sz w:val="20"/>
              </w:rPr>
              <w:t>western</w:t>
            </w:r>
            <w:r>
              <w:rPr>
                <w:spacing w:val="-2"/>
                <w:sz w:val="20"/>
              </w:rPr>
              <w:t xml:space="preserve"> </w:t>
            </w:r>
            <w:r>
              <w:rPr>
                <w:sz w:val="20"/>
              </w:rPr>
              <w:t>Atlantic</w:t>
            </w:r>
            <w:r>
              <w:rPr>
                <w:spacing w:val="-6"/>
                <w:sz w:val="20"/>
              </w:rPr>
              <w:t xml:space="preserve"> </w:t>
            </w:r>
            <w:r>
              <w:rPr>
                <w:sz w:val="20"/>
              </w:rPr>
              <w:t xml:space="preserve">and </w:t>
            </w:r>
            <w:r>
              <w:rPr>
                <w:spacing w:val="-2"/>
                <w:sz w:val="20"/>
              </w:rPr>
              <w:t>eastern</w:t>
            </w:r>
            <w:r>
              <w:rPr>
                <w:sz w:val="20"/>
              </w:rPr>
              <w:tab/>
            </w:r>
            <w:r>
              <w:rPr>
                <w:spacing w:val="-2"/>
                <w:sz w:val="20"/>
              </w:rPr>
              <w:t>Atlantic</w:t>
            </w:r>
            <w:r>
              <w:rPr>
                <w:sz w:val="20"/>
              </w:rPr>
              <w:tab/>
            </w:r>
            <w:r>
              <w:rPr>
                <w:spacing w:val="-4"/>
                <w:sz w:val="20"/>
              </w:rPr>
              <w:t>and</w:t>
            </w:r>
            <w:r>
              <w:rPr>
                <w:sz w:val="20"/>
              </w:rPr>
              <w:tab/>
            </w:r>
            <w:r>
              <w:rPr>
                <w:spacing w:val="-2"/>
                <w:sz w:val="20"/>
              </w:rPr>
              <w:t>Mediterranean</w:t>
            </w:r>
            <w:r>
              <w:rPr>
                <w:sz w:val="20"/>
              </w:rPr>
              <w:tab/>
            </w:r>
            <w:r>
              <w:rPr>
                <w:spacing w:val="-2"/>
                <w:sz w:val="20"/>
              </w:rPr>
              <w:t>management</w:t>
            </w:r>
            <w:r>
              <w:rPr>
                <w:sz w:val="20"/>
              </w:rPr>
              <w:tab/>
            </w:r>
            <w:r>
              <w:rPr>
                <w:spacing w:val="-2"/>
                <w:sz w:val="20"/>
              </w:rPr>
              <w:t xml:space="preserve">areas </w:t>
            </w:r>
            <w:hyperlink r:id="rId26">
              <w:r>
                <w:rPr>
                  <w:color w:val="0000FF"/>
                  <w:spacing w:val="-2"/>
                  <w:sz w:val="20"/>
                  <w:u w:val="single" w:color="0000FF"/>
                </w:rPr>
                <w:t>https://www.iccat.int/Documents/Recs/compendiopdf-e/2023-07-e.pdf</w:t>
              </w:r>
            </w:hyperlink>
          </w:p>
          <w:p w14:paraId="2665E5C4" w14:textId="77777777" w:rsidR="005042A3" w:rsidRDefault="00982504">
            <w:pPr>
              <w:pStyle w:val="TableParagraph"/>
              <w:spacing w:before="120"/>
              <w:ind w:left="110" w:right="92" w:hanging="1"/>
              <w:jc w:val="both"/>
              <w:rPr>
                <w:sz w:val="20"/>
              </w:rPr>
            </w:pPr>
            <w:proofErr w:type="spellStart"/>
            <w:r>
              <w:rPr>
                <w:sz w:val="20"/>
              </w:rPr>
              <w:t>MacKenzie</w:t>
            </w:r>
            <w:proofErr w:type="spellEnd"/>
            <w:r>
              <w:rPr>
                <w:sz w:val="20"/>
              </w:rPr>
              <w:t>,</w:t>
            </w:r>
            <w:r>
              <w:rPr>
                <w:spacing w:val="-12"/>
                <w:sz w:val="20"/>
              </w:rPr>
              <w:t xml:space="preserve"> </w:t>
            </w:r>
            <w:r>
              <w:rPr>
                <w:sz w:val="20"/>
              </w:rPr>
              <w:t>B.</w:t>
            </w:r>
            <w:r>
              <w:rPr>
                <w:spacing w:val="-11"/>
                <w:sz w:val="20"/>
              </w:rPr>
              <w:t xml:space="preserve"> </w:t>
            </w:r>
            <w:r>
              <w:rPr>
                <w:sz w:val="20"/>
              </w:rPr>
              <w:t>R.,</w:t>
            </w:r>
            <w:r>
              <w:rPr>
                <w:spacing w:val="-11"/>
                <w:sz w:val="20"/>
              </w:rPr>
              <w:t xml:space="preserve"> </w:t>
            </w:r>
            <w:r>
              <w:rPr>
                <w:sz w:val="20"/>
              </w:rPr>
              <w:t>Payne,</w:t>
            </w:r>
            <w:r>
              <w:rPr>
                <w:spacing w:val="-12"/>
                <w:sz w:val="20"/>
              </w:rPr>
              <w:t xml:space="preserve"> </w:t>
            </w:r>
            <w:r>
              <w:rPr>
                <w:sz w:val="20"/>
              </w:rPr>
              <w:t>M.</w:t>
            </w:r>
            <w:r>
              <w:rPr>
                <w:spacing w:val="-9"/>
                <w:sz w:val="20"/>
              </w:rPr>
              <w:t xml:space="preserve"> </w:t>
            </w:r>
            <w:r>
              <w:rPr>
                <w:sz w:val="20"/>
              </w:rPr>
              <w:t>R.,</w:t>
            </w:r>
            <w:r>
              <w:rPr>
                <w:spacing w:val="-11"/>
                <w:sz w:val="20"/>
              </w:rPr>
              <w:t xml:space="preserve"> </w:t>
            </w:r>
            <w:r>
              <w:rPr>
                <w:sz w:val="20"/>
              </w:rPr>
              <w:t>Boje,</w:t>
            </w:r>
            <w:r>
              <w:rPr>
                <w:spacing w:val="-11"/>
                <w:sz w:val="20"/>
              </w:rPr>
              <w:t xml:space="preserve"> </w:t>
            </w:r>
            <w:r>
              <w:rPr>
                <w:sz w:val="20"/>
              </w:rPr>
              <w:t>J.,</w:t>
            </w:r>
            <w:r>
              <w:rPr>
                <w:spacing w:val="-11"/>
                <w:sz w:val="20"/>
              </w:rPr>
              <w:t xml:space="preserve"> </w:t>
            </w:r>
            <w:r>
              <w:rPr>
                <w:sz w:val="20"/>
              </w:rPr>
              <w:t>Høyer,</w:t>
            </w:r>
            <w:r>
              <w:rPr>
                <w:spacing w:val="-11"/>
                <w:sz w:val="20"/>
              </w:rPr>
              <w:t xml:space="preserve"> </w:t>
            </w:r>
            <w:r>
              <w:rPr>
                <w:sz w:val="20"/>
              </w:rPr>
              <w:t>J.</w:t>
            </w:r>
            <w:r>
              <w:rPr>
                <w:spacing w:val="-12"/>
                <w:sz w:val="20"/>
              </w:rPr>
              <w:t xml:space="preserve"> </w:t>
            </w:r>
            <w:r>
              <w:rPr>
                <w:sz w:val="20"/>
              </w:rPr>
              <w:t>L.</w:t>
            </w:r>
            <w:r>
              <w:rPr>
                <w:spacing w:val="-11"/>
                <w:sz w:val="20"/>
              </w:rPr>
              <w:t xml:space="preserve"> </w:t>
            </w:r>
            <w:r>
              <w:rPr>
                <w:sz w:val="20"/>
              </w:rPr>
              <w:t>and</w:t>
            </w:r>
            <w:r>
              <w:rPr>
                <w:spacing w:val="-11"/>
                <w:sz w:val="20"/>
              </w:rPr>
              <w:t xml:space="preserve"> </w:t>
            </w:r>
            <w:r>
              <w:rPr>
                <w:sz w:val="20"/>
              </w:rPr>
              <w:t>Siegstad,</w:t>
            </w:r>
            <w:r>
              <w:rPr>
                <w:spacing w:val="-11"/>
                <w:sz w:val="20"/>
              </w:rPr>
              <w:t xml:space="preserve"> </w:t>
            </w:r>
            <w:r>
              <w:rPr>
                <w:sz w:val="20"/>
              </w:rPr>
              <w:t>H.</w:t>
            </w:r>
            <w:r>
              <w:rPr>
                <w:spacing w:val="-12"/>
                <w:sz w:val="20"/>
              </w:rPr>
              <w:t xml:space="preserve"> </w:t>
            </w:r>
            <w:r>
              <w:rPr>
                <w:sz w:val="20"/>
              </w:rPr>
              <w:t>2014.</w:t>
            </w:r>
            <w:r>
              <w:rPr>
                <w:spacing w:val="-11"/>
                <w:sz w:val="20"/>
              </w:rPr>
              <w:t xml:space="preserve"> </w:t>
            </w:r>
            <w:r>
              <w:rPr>
                <w:sz w:val="20"/>
              </w:rPr>
              <w:t>A</w:t>
            </w:r>
            <w:r>
              <w:rPr>
                <w:spacing w:val="-11"/>
                <w:sz w:val="20"/>
              </w:rPr>
              <w:t xml:space="preserve"> </w:t>
            </w:r>
            <w:r>
              <w:rPr>
                <w:sz w:val="20"/>
              </w:rPr>
              <w:t>cascade</w:t>
            </w:r>
            <w:r>
              <w:rPr>
                <w:spacing w:val="-10"/>
                <w:sz w:val="20"/>
              </w:rPr>
              <w:t xml:space="preserve"> </w:t>
            </w:r>
            <w:r>
              <w:rPr>
                <w:sz w:val="20"/>
              </w:rPr>
              <w:t>of</w:t>
            </w:r>
            <w:r>
              <w:rPr>
                <w:spacing w:val="-10"/>
                <w:sz w:val="20"/>
              </w:rPr>
              <w:t xml:space="preserve"> </w:t>
            </w:r>
            <w:r>
              <w:rPr>
                <w:sz w:val="20"/>
              </w:rPr>
              <w:t xml:space="preserve">warming impacts brings bluefin tuna to Greenland waters. Global change biology 20: 2484−2491. </w:t>
            </w:r>
            <w:hyperlink r:id="rId27">
              <w:r>
                <w:rPr>
                  <w:color w:val="0000FF"/>
                  <w:spacing w:val="-2"/>
                  <w:sz w:val="20"/>
                  <w:u w:val="single" w:color="0000FF"/>
                </w:rPr>
                <w:t>https://doi.org/10.1111/gcb.12597</w:t>
              </w:r>
            </w:hyperlink>
          </w:p>
          <w:p w14:paraId="2E2C482D" w14:textId="77777777" w:rsidR="005042A3" w:rsidRDefault="00982504">
            <w:pPr>
              <w:pStyle w:val="TableParagraph"/>
              <w:spacing w:before="120"/>
              <w:ind w:left="110" w:right="91"/>
              <w:jc w:val="both"/>
              <w:rPr>
                <w:sz w:val="20"/>
              </w:rPr>
            </w:pPr>
            <w:proofErr w:type="spellStart"/>
            <w:r>
              <w:rPr>
                <w:sz w:val="20"/>
              </w:rPr>
              <w:t>Nøttestad</w:t>
            </w:r>
            <w:proofErr w:type="spellEnd"/>
            <w:r>
              <w:rPr>
                <w:sz w:val="20"/>
              </w:rPr>
              <w:t>, L., Boge, E., and Ferter, K. 2020. The comeback of Atlantic bluefin tuna (</w:t>
            </w:r>
            <w:r>
              <w:rPr>
                <w:i/>
                <w:sz w:val="20"/>
              </w:rPr>
              <w:t>Thunnus thynnus</w:t>
            </w:r>
            <w:r>
              <w:rPr>
                <w:sz w:val="20"/>
              </w:rPr>
              <w:t xml:space="preserve">) to Norwegian waters. Fisheries Research 231: 105689. </w:t>
            </w:r>
            <w:hyperlink r:id="rId28">
              <w:r>
                <w:rPr>
                  <w:color w:val="0000FF"/>
                  <w:spacing w:val="-2"/>
                  <w:sz w:val="20"/>
                  <w:u w:val="single" w:color="0000FF"/>
                </w:rPr>
                <w:t>https://doi.org/10.1016/j.fishres.2020.105689</w:t>
              </w:r>
            </w:hyperlink>
          </w:p>
          <w:p w14:paraId="73D9B41F" w14:textId="77777777" w:rsidR="005042A3" w:rsidRDefault="00982504">
            <w:pPr>
              <w:pStyle w:val="TableParagraph"/>
              <w:spacing w:before="122"/>
              <w:ind w:left="110" w:right="91"/>
              <w:jc w:val="both"/>
              <w:rPr>
                <w:sz w:val="20"/>
              </w:rPr>
            </w:pPr>
            <w:r>
              <w:rPr>
                <w:sz w:val="20"/>
              </w:rPr>
              <w:t>Rodríguez-Ezpeleta,</w:t>
            </w:r>
            <w:r>
              <w:rPr>
                <w:spacing w:val="-12"/>
                <w:sz w:val="20"/>
              </w:rPr>
              <w:t xml:space="preserve"> </w:t>
            </w:r>
            <w:r>
              <w:rPr>
                <w:sz w:val="20"/>
              </w:rPr>
              <w:t>N.,</w:t>
            </w:r>
            <w:r>
              <w:rPr>
                <w:spacing w:val="-11"/>
                <w:sz w:val="20"/>
              </w:rPr>
              <w:t xml:space="preserve"> </w:t>
            </w:r>
            <w:r>
              <w:rPr>
                <w:sz w:val="20"/>
              </w:rPr>
              <w:t>Díaz-Arce,</w:t>
            </w:r>
            <w:r>
              <w:rPr>
                <w:spacing w:val="-11"/>
                <w:sz w:val="20"/>
              </w:rPr>
              <w:t xml:space="preserve"> </w:t>
            </w:r>
            <w:r>
              <w:rPr>
                <w:sz w:val="20"/>
              </w:rPr>
              <w:t>N.,</w:t>
            </w:r>
            <w:r>
              <w:rPr>
                <w:spacing w:val="-12"/>
                <w:sz w:val="20"/>
              </w:rPr>
              <w:t xml:space="preserve"> </w:t>
            </w:r>
            <w:r>
              <w:rPr>
                <w:sz w:val="20"/>
              </w:rPr>
              <w:t>Walter</w:t>
            </w:r>
            <w:r>
              <w:rPr>
                <w:spacing w:val="-11"/>
                <w:sz w:val="20"/>
              </w:rPr>
              <w:t xml:space="preserve"> </w:t>
            </w:r>
            <w:r>
              <w:rPr>
                <w:sz w:val="20"/>
              </w:rPr>
              <w:t>III,</w:t>
            </w:r>
            <w:r>
              <w:rPr>
                <w:spacing w:val="-11"/>
                <w:sz w:val="20"/>
              </w:rPr>
              <w:t xml:space="preserve"> </w:t>
            </w:r>
            <w:r>
              <w:rPr>
                <w:sz w:val="20"/>
              </w:rPr>
              <w:t>J.</w:t>
            </w:r>
            <w:r>
              <w:rPr>
                <w:spacing w:val="-12"/>
                <w:sz w:val="20"/>
              </w:rPr>
              <w:t xml:space="preserve"> </w:t>
            </w:r>
            <w:r>
              <w:rPr>
                <w:sz w:val="20"/>
              </w:rPr>
              <w:t>F.,</w:t>
            </w:r>
            <w:r>
              <w:rPr>
                <w:spacing w:val="-11"/>
                <w:sz w:val="20"/>
              </w:rPr>
              <w:t xml:space="preserve"> </w:t>
            </w:r>
            <w:r>
              <w:rPr>
                <w:sz w:val="20"/>
              </w:rPr>
              <w:t>Richardson,</w:t>
            </w:r>
            <w:r>
              <w:rPr>
                <w:spacing w:val="-11"/>
                <w:sz w:val="20"/>
              </w:rPr>
              <w:t xml:space="preserve"> </w:t>
            </w:r>
            <w:r>
              <w:rPr>
                <w:sz w:val="20"/>
              </w:rPr>
              <w:t>D.</w:t>
            </w:r>
            <w:r>
              <w:rPr>
                <w:spacing w:val="-12"/>
                <w:sz w:val="20"/>
              </w:rPr>
              <w:t xml:space="preserve"> </w:t>
            </w:r>
            <w:r>
              <w:rPr>
                <w:sz w:val="20"/>
              </w:rPr>
              <w:t>E.,</w:t>
            </w:r>
            <w:r>
              <w:rPr>
                <w:spacing w:val="-11"/>
                <w:sz w:val="20"/>
              </w:rPr>
              <w:t xml:space="preserve"> </w:t>
            </w:r>
            <w:r>
              <w:rPr>
                <w:sz w:val="20"/>
              </w:rPr>
              <w:t>Rooker,</w:t>
            </w:r>
            <w:r>
              <w:rPr>
                <w:spacing w:val="-11"/>
                <w:sz w:val="20"/>
              </w:rPr>
              <w:t xml:space="preserve"> </w:t>
            </w:r>
            <w:r>
              <w:rPr>
                <w:sz w:val="20"/>
              </w:rPr>
              <w:t>J.</w:t>
            </w:r>
            <w:r>
              <w:rPr>
                <w:spacing w:val="-11"/>
                <w:sz w:val="20"/>
              </w:rPr>
              <w:t xml:space="preserve"> </w:t>
            </w:r>
            <w:r>
              <w:rPr>
                <w:sz w:val="20"/>
              </w:rPr>
              <w:t>R.,</w:t>
            </w:r>
            <w:r>
              <w:rPr>
                <w:spacing w:val="-12"/>
                <w:sz w:val="20"/>
              </w:rPr>
              <w:t xml:space="preserve"> </w:t>
            </w:r>
            <w:proofErr w:type="spellStart"/>
            <w:r>
              <w:rPr>
                <w:sz w:val="20"/>
              </w:rPr>
              <w:t>Nøttestad</w:t>
            </w:r>
            <w:proofErr w:type="spellEnd"/>
            <w:r>
              <w:rPr>
                <w:sz w:val="20"/>
              </w:rPr>
              <w:t>, L., Hanke, A. R.</w:t>
            </w:r>
            <w:r>
              <w:rPr>
                <w:i/>
                <w:sz w:val="20"/>
              </w:rPr>
              <w:t>, et al</w:t>
            </w:r>
            <w:r>
              <w:rPr>
                <w:sz w:val="20"/>
              </w:rPr>
              <w:t xml:space="preserve">. 2019. Determining natal origin for improved management of Atlantic bluefin tuna. Frontiers in Ecology and the Environment 17: 439−444. </w:t>
            </w:r>
            <w:hyperlink r:id="rId29">
              <w:r>
                <w:rPr>
                  <w:color w:val="0000FF"/>
                  <w:spacing w:val="-2"/>
                  <w:sz w:val="20"/>
                  <w:u w:val="single" w:color="0000FF"/>
                </w:rPr>
                <w:t>https://doi.org/10.1002/fee.2090</w:t>
              </w:r>
            </w:hyperlink>
          </w:p>
          <w:p w14:paraId="01DFF7EF" w14:textId="77777777" w:rsidR="005042A3" w:rsidRDefault="00982504">
            <w:pPr>
              <w:pStyle w:val="TableParagraph"/>
              <w:spacing w:before="120"/>
              <w:ind w:left="110" w:right="93"/>
              <w:jc w:val="both"/>
              <w:rPr>
                <w:sz w:val="20"/>
              </w:rPr>
            </w:pPr>
            <w:r w:rsidRPr="00982504">
              <w:rPr>
                <w:sz w:val="20"/>
                <w:lang w:val="da-DK"/>
              </w:rPr>
              <w:t>Trueman, C. N., Artetxe-Arrate, I., Kerr, L. A., Meijers, A. J., Rooker, J. R., Sivankutty,</w:t>
            </w:r>
            <w:r w:rsidRPr="00982504">
              <w:rPr>
                <w:spacing w:val="-4"/>
                <w:sz w:val="20"/>
                <w:lang w:val="da-DK"/>
              </w:rPr>
              <w:t xml:space="preserve"> </w:t>
            </w:r>
            <w:r w:rsidRPr="00982504">
              <w:rPr>
                <w:sz w:val="20"/>
                <w:lang w:val="da-DK"/>
              </w:rPr>
              <w:t xml:space="preserve">R., Arrizabalaga, H., </w:t>
            </w:r>
            <w:r w:rsidRPr="00982504">
              <w:rPr>
                <w:i/>
                <w:sz w:val="20"/>
                <w:lang w:val="da-DK"/>
              </w:rPr>
              <w:t xml:space="preserve">et al </w:t>
            </w:r>
            <w:r w:rsidRPr="00982504">
              <w:rPr>
                <w:sz w:val="20"/>
                <w:lang w:val="da-DK"/>
              </w:rPr>
              <w:t xml:space="preserve">2023. </w:t>
            </w:r>
            <w:r>
              <w:rPr>
                <w:sz w:val="20"/>
              </w:rPr>
              <w:t>Thermal sensitivity of field metabolic rate predicts differential futures</w:t>
            </w:r>
            <w:r>
              <w:rPr>
                <w:spacing w:val="-5"/>
                <w:sz w:val="20"/>
              </w:rPr>
              <w:t xml:space="preserve"> </w:t>
            </w:r>
            <w:r>
              <w:rPr>
                <w:sz w:val="20"/>
              </w:rPr>
              <w:t>for</w:t>
            </w:r>
            <w:r>
              <w:rPr>
                <w:spacing w:val="-6"/>
                <w:sz w:val="20"/>
              </w:rPr>
              <w:t xml:space="preserve"> </w:t>
            </w:r>
            <w:r>
              <w:rPr>
                <w:sz w:val="20"/>
              </w:rPr>
              <w:t>bluefin</w:t>
            </w:r>
            <w:r>
              <w:rPr>
                <w:spacing w:val="-6"/>
                <w:sz w:val="20"/>
              </w:rPr>
              <w:t xml:space="preserve"> </w:t>
            </w:r>
            <w:r>
              <w:rPr>
                <w:sz w:val="20"/>
              </w:rPr>
              <w:t>tuna</w:t>
            </w:r>
            <w:r>
              <w:rPr>
                <w:spacing w:val="-6"/>
                <w:sz w:val="20"/>
              </w:rPr>
              <w:t xml:space="preserve"> </w:t>
            </w:r>
            <w:r>
              <w:rPr>
                <w:sz w:val="20"/>
              </w:rPr>
              <w:t>juveniles</w:t>
            </w:r>
            <w:r>
              <w:rPr>
                <w:spacing w:val="-5"/>
                <w:sz w:val="20"/>
              </w:rPr>
              <w:t xml:space="preserve"> </w:t>
            </w:r>
            <w:r>
              <w:rPr>
                <w:sz w:val="20"/>
              </w:rPr>
              <w:t>across</w:t>
            </w:r>
            <w:r>
              <w:rPr>
                <w:spacing w:val="-5"/>
                <w:sz w:val="20"/>
              </w:rPr>
              <w:t xml:space="preserve"> </w:t>
            </w:r>
            <w:r>
              <w:rPr>
                <w:sz w:val="20"/>
              </w:rPr>
              <w:t>the</w:t>
            </w:r>
            <w:r>
              <w:rPr>
                <w:spacing w:val="-7"/>
                <w:sz w:val="20"/>
              </w:rPr>
              <w:t xml:space="preserve"> </w:t>
            </w:r>
            <w:r>
              <w:rPr>
                <w:sz w:val="20"/>
              </w:rPr>
              <w:t>Atlantic</w:t>
            </w:r>
            <w:r>
              <w:rPr>
                <w:spacing w:val="-7"/>
                <w:sz w:val="20"/>
              </w:rPr>
              <w:t xml:space="preserve"> </w:t>
            </w:r>
            <w:r>
              <w:rPr>
                <w:sz w:val="20"/>
              </w:rPr>
              <w:t>Ocean.</w:t>
            </w:r>
            <w:r>
              <w:rPr>
                <w:spacing w:val="-6"/>
                <w:sz w:val="20"/>
              </w:rPr>
              <w:t xml:space="preserve"> </w:t>
            </w:r>
            <w:r>
              <w:rPr>
                <w:sz w:val="20"/>
              </w:rPr>
              <w:t>Nature</w:t>
            </w:r>
            <w:r>
              <w:rPr>
                <w:spacing w:val="-7"/>
                <w:sz w:val="20"/>
              </w:rPr>
              <w:t xml:space="preserve"> </w:t>
            </w:r>
            <w:proofErr w:type="gramStart"/>
            <w:r>
              <w:rPr>
                <w:sz w:val="20"/>
              </w:rPr>
              <w:t>communications</w:t>
            </w:r>
            <w:proofErr w:type="gramEnd"/>
            <w:r>
              <w:rPr>
                <w:spacing w:val="-5"/>
                <w:sz w:val="20"/>
              </w:rPr>
              <w:t xml:space="preserve"> </w:t>
            </w:r>
            <w:r>
              <w:rPr>
                <w:sz w:val="20"/>
              </w:rPr>
              <w:t>14:</w:t>
            </w:r>
            <w:r>
              <w:rPr>
                <w:spacing w:val="-7"/>
                <w:sz w:val="20"/>
              </w:rPr>
              <w:t xml:space="preserve"> </w:t>
            </w:r>
            <w:r>
              <w:rPr>
                <w:sz w:val="20"/>
              </w:rPr>
              <w:t xml:space="preserve">7379. </w:t>
            </w:r>
            <w:hyperlink r:id="rId30">
              <w:r>
                <w:rPr>
                  <w:color w:val="0000FF"/>
                  <w:spacing w:val="-2"/>
                  <w:sz w:val="20"/>
                  <w:u w:val="single" w:color="0000FF"/>
                </w:rPr>
                <w:t>http://dx.doi.org/10.1038/s41467-023-41930-2</w:t>
              </w:r>
            </w:hyperlink>
          </w:p>
        </w:tc>
      </w:tr>
      <w:tr w:rsidR="005042A3" w14:paraId="562479FE" w14:textId="77777777">
        <w:trPr>
          <w:trHeight w:val="729"/>
        </w:trPr>
        <w:tc>
          <w:tcPr>
            <w:tcW w:w="2472" w:type="dxa"/>
          </w:tcPr>
          <w:p w14:paraId="4C27EBC4" w14:textId="77777777" w:rsidR="005042A3" w:rsidRDefault="00982504">
            <w:pPr>
              <w:pStyle w:val="TableParagraph"/>
              <w:spacing w:before="241"/>
              <w:ind w:left="107"/>
              <w:rPr>
                <w:sz w:val="20"/>
              </w:rPr>
            </w:pPr>
            <w:r>
              <w:rPr>
                <w:sz w:val="20"/>
              </w:rPr>
              <w:t>Method</w:t>
            </w:r>
            <w:r>
              <w:rPr>
                <w:spacing w:val="-7"/>
                <w:sz w:val="20"/>
              </w:rPr>
              <w:t xml:space="preserve"> </w:t>
            </w:r>
            <w:r>
              <w:rPr>
                <w:spacing w:val="-4"/>
                <w:sz w:val="20"/>
              </w:rPr>
              <w:t>used</w:t>
            </w:r>
          </w:p>
        </w:tc>
        <w:tc>
          <w:tcPr>
            <w:tcW w:w="7814" w:type="dxa"/>
          </w:tcPr>
          <w:p w14:paraId="328C945D" w14:textId="77777777" w:rsidR="005042A3" w:rsidRDefault="00982504">
            <w:pPr>
              <w:pStyle w:val="TableParagraph"/>
              <w:spacing w:before="121"/>
              <w:ind w:left="110"/>
              <w:rPr>
                <w:sz w:val="20"/>
              </w:rPr>
            </w:pPr>
            <w:r>
              <w:rPr>
                <w:sz w:val="20"/>
              </w:rPr>
              <w:t xml:space="preserve">The assessment is based on ICCAT stock assessment reports, scientific literature and expert </w:t>
            </w:r>
            <w:r>
              <w:rPr>
                <w:spacing w:val="-2"/>
                <w:sz w:val="20"/>
              </w:rPr>
              <w:t>judgement.</w:t>
            </w:r>
          </w:p>
        </w:tc>
      </w:tr>
    </w:tbl>
    <w:p w14:paraId="5068E6AE" w14:textId="77777777" w:rsidR="005042A3" w:rsidRDefault="005042A3">
      <w:pPr>
        <w:pStyle w:val="TableParagraph"/>
        <w:rPr>
          <w:sz w:val="20"/>
        </w:rPr>
        <w:sectPr w:rsidR="005042A3">
          <w:type w:val="continuous"/>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5042A3" w14:paraId="648AE3A5" w14:textId="77777777">
        <w:trPr>
          <w:trHeight w:val="244"/>
        </w:trPr>
        <w:tc>
          <w:tcPr>
            <w:tcW w:w="2858" w:type="dxa"/>
          </w:tcPr>
          <w:p w14:paraId="63668025" w14:textId="77777777" w:rsidR="005042A3" w:rsidRDefault="00982504">
            <w:pPr>
              <w:pStyle w:val="TableParagraph"/>
              <w:spacing w:before="1" w:line="223" w:lineRule="exact"/>
              <w:ind w:left="583"/>
              <w:rPr>
                <w:b/>
                <w:sz w:val="20"/>
              </w:rPr>
            </w:pPr>
            <w:r>
              <w:rPr>
                <w:b/>
                <w:sz w:val="20"/>
              </w:rPr>
              <w:lastRenderedPageBreak/>
              <w:t>AUDIT</w:t>
            </w:r>
            <w:r>
              <w:rPr>
                <w:b/>
                <w:spacing w:val="-8"/>
                <w:sz w:val="20"/>
              </w:rPr>
              <w:t xml:space="preserve"> </w:t>
            </w:r>
            <w:r>
              <w:rPr>
                <w:b/>
                <w:spacing w:val="-2"/>
                <w:sz w:val="20"/>
              </w:rPr>
              <w:t>TRAIL</w:t>
            </w:r>
          </w:p>
        </w:tc>
        <w:tc>
          <w:tcPr>
            <w:tcW w:w="7428" w:type="dxa"/>
          </w:tcPr>
          <w:p w14:paraId="6E4EEA99" w14:textId="77777777" w:rsidR="005042A3" w:rsidRDefault="00982504">
            <w:pPr>
              <w:pStyle w:val="TableParagraph"/>
              <w:spacing w:before="1" w:line="223" w:lineRule="exact"/>
              <w:ind w:left="1867"/>
              <w:rPr>
                <w:b/>
                <w:sz w:val="20"/>
              </w:rPr>
            </w:pPr>
            <w:r>
              <w:rPr>
                <w:b/>
                <w:sz w:val="20"/>
              </w:rPr>
              <w:t>Additional</w:t>
            </w:r>
            <w:r>
              <w:rPr>
                <w:b/>
                <w:spacing w:val="-7"/>
                <w:sz w:val="20"/>
              </w:rPr>
              <w:t xml:space="preserve"> </w:t>
            </w:r>
            <w:r>
              <w:rPr>
                <w:b/>
                <w:sz w:val="20"/>
              </w:rPr>
              <w:t>evidence</w:t>
            </w:r>
            <w:r>
              <w:rPr>
                <w:b/>
                <w:spacing w:val="-5"/>
                <w:sz w:val="20"/>
              </w:rPr>
              <w:t xml:space="preserve"> </w:t>
            </w:r>
            <w:r>
              <w:rPr>
                <w:b/>
                <w:sz w:val="20"/>
              </w:rPr>
              <w:t>and</w:t>
            </w:r>
            <w:r>
              <w:rPr>
                <w:b/>
                <w:spacing w:val="-5"/>
                <w:sz w:val="20"/>
              </w:rPr>
              <w:t xml:space="preserve"> </w:t>
            </w:r>
            <w:r>
              <w:rPr>
                <w:b/>
                <w:spacing w:val="-2"/>
                <w:sz w:val="20"/>
              </w:rPr>
              <w:t>information</w:t>
            </w:r>
          </w:p>
        </w:tc>
      </w:tr>
      <w:tr w:rsidR="005042A3" w14:paraId="5EF0E8D5" w14:textId="77777777">
        <w:trPr>
          <w:trHeight w:val="3897"/>
        </w:trPr>
        <w:tc>
          <w:tcPr>
            <w:tcW w:w="2858" w:type="dxa"/>
          </w:tcPr>
          <w:p w14:paraId="3F4C18B8" w14:textId="77777777" w:rsidR="005042A3" w:rsidRDefault="005042A3">
            <w:pPr>
              <w:pStyle w:val="TableParagraph"/>
              <w:rPr>
                <w:b/>
                <w:sz w:val="20"/>
              </w:rPr>
            </w:pPr>
          </w:p>
          <w:p w14:paraId="655D1446" w14:textId="77777777" w:rsidR="005042A3" w:rsidRDefault="005042A3">
            <w:pPr>
              <w:pStyle w:val="TableParagraph"/>
              <w:rPr>
                <w:b/>
                <w:sz w:val="20"/>
              </w:rPr>
            </w:pPr>
          </w:p>
          <w:p w14:paraId="3EDF9B92" w14:textId="77777777" w:rsidR="005042A3" w:rsidRDefault="005042A3">
            <w:pPr>
              <w:pStyle w:val="TableParagraph"/>
              <w:rPr>
                <w:b/>
                <w:sz w:val="20"/>
              </w:rPr>
            </w:pPr>
          </w:p>
          <w:p w14:paraId="235FF739" w14:textId="77777777" w:rsidR="005042A3" w:rsidRDefault="005042A3">
            <w:pPr>
              <w:pStyle w:val="TableParagraph"/>
              <w:spacing w:before="119"/>
              <w:rPr>
                <w:b/>
                <w:sz w:val="20"/>
              </w:rPr>
            </w:pPr>
          </w:p>
          <w:p w14:paraId="339C0E9D" w14:textId="77777777" w:rsidR="005042A3" w:rsidRDefault="00982504">
            <w:pPr>
              <w:pStyle w:val="TableParagraph"/>
              <w:ind w:left="107" w:right="1090"/>
              <w:rPr>
                <w:sz w:val="20"/>
              </w:rPr>
            </w:pPr>
            <w:r>
              <w:rPr>
                <w:spacing w:val="-2"/>
                <w:sz w:val="20"/>
              </w:rPr>
              <w:t xml:space="preserve">Assessment </w:t>
            </w:r>
            <w:r>
              <w:rPr>
                <w:sz w:val="20"/>
              </w:rPr>
              <w:t>methods</w:t>
            </w:r>
            <w:r>
              <w:rPr>
                <w:spacing w:val="-12"/>
                <w:sz w:val="20"/>
              </w:rPr>
              <w:t xml:space="preserve"> </w:t>
            </w:r>
            <w:r>
              <w:rPr>
                <w:sz w:val="20"/>
              </w:rPr>
              <w:t xml:space="preserve">(additional information, </w:t>
            </w:r>
            <w:proofErr w:type="gramStart"/>
            <w:r>
              <w:rPr>
                <w:sz w:val="20"/>
              </w:rPr>
              <w:t>in particular how</w:t>
            </w:r>
            <w:proofErr w:type="gramEnd"/>
            <w:r>
              <w:rPr>
                <w:sz w:val="20"/>
              </w:rPr>
              <w:t xml:space="preserve"> the</w:t>
            </w:r>
          </w:p>
          <w:p w14:paraId="04E96CC3" w14:textId="77777777" w:rsidR="005042A3" w:rsidRDefault="00982504">
            <w:pPr>
              <w:pStyle w:val="TableParagraph"/>
              <w:ind w:left="107" w:right="783"/>
              <w:rPr>
                <w:sz w:val="20"/>
              </w:rPr>
            </w:pPr>
            <w:r>
              <w:rPr>
                <w:sz w:val="20"/>
              </w:rPr>
              <w:t>overall assessment in the</w:t>
            </w:r>
            <w:r>
              <w:rPr>
                <w:spacing w:val="-12"/>
                <w:sz w:val="20"/>
              </w:rPr>
              <w:t xml:space="preserve"> </w:t>
            </w:r>
            <w:r>
              <w:rPr>
                <w:sz w:val="20"/>
              </w:rPr>
              <w:t>summary</w:t>
            </w:r>
            <w:r>
              <w:rPr>
                <w:spacing w:val="-11"/>
                <w:sz w:val="20"/>
              </w:rPr>
              <w:t xml:space="preserve"> </w:t>
            </w:r>
            <w:r>
              <w:rPr>
                <w:sz w:val="20"/>
              </w:rPr>
              <w:t>table</w:t>
            </w:r>
            <w:r>
              <w:rPr>
                <w:spacing w:val="-11"/>
                <w:sz w:val="20"/>
              </w:rPr>
              <w:t xml:space="preserve"> </w:t>
            </w:r>
            <w:r>
              <w:rPr>
                <w:sz w:val="20"/>
              </w:rPr>
              <w:t xml:space="preserve">was </w:t>
            </w:r>
            <w:r>
              <w:rPr>
                <w:spacing w:val="-2"/>
                <w:sz w:val="20"/>
              </w:rPr>
              <w:t>reached)</w:t>
            </w:r>
          </w:p>
        </w:tc>
        <w:tc>
          <w:tcPr>
            <w:tcW w:w="7428" w:type="dxa"/>
          </w:tcPr>
          <w:p w14:paraId="09FE3282" w14:textId="77777777" w:rsidR="005042A3" w:rsidRDefault="00982504">
            <w:pPr>
              <w:pStyle w:val="TableParagraph"/>
              <w:spacing w:before="121"/>
              <w:ind w:left="110" w:right="90"/>
              <w:jc w:val="both"/>
              <w:rPr>
                <w:sz w:val="20"/>
              </w:rPr>
            </w:pPr>
            <w:r>
              <w:rPr>
                <w:sz w:val="20"/>
              </w:rPr>
              <w:t>Region V is the main area of distribution for Atlantic bluefin tuna, but they also visit all other OSPAR regions.</w:t>
            </w:r>
          </w:p>
          <w:p w14:paraId="77E46B82" w14:textId="77777777" w:rsidR="005042A3" w:rsidRDefault="00982504">
            <w:pPr>
              <w:pStyle w:val="TableParagraph"/>
              <w:spacing w:before="119"/>
              <w:ind w:left="110" w:right="89"/>
              <w:jc w:val="both"/>
              <w:rPr>
                <w:sz w:val="20"/>
              </w:rPr>
            </w:pPr>
            <w:r>
              <w:rPr>
                <w:sz w:val="20"/>
              </w:rPr>
              <w:t xml:space="preserve">For all OSPAR regions, the proportion of bluefin of western origin (assumed to spawn in the Gulf of Mexico) is expected to be very low, if not negligible (because of low mixing rates of the western population, and because the eastern population is an order of magnitude larger (see Fraile </w:t>
            </w:r>
            <w:r>
              <w:rPr>
                <w:i/>
                <w:sz w:val="20"/>
              </w:rPr>
              <w:t>et al</w:t>
            </w:r>
            <w:r>
              <w:rPr>
                <w:sz w:val="20"/>
              </w:rPr>
              <w:t>., 2015; Rodriguez-Ezpeleta e</w:t>
            </w:r>
            <w:r>
              <w:rPr>
                <w:i/>
                <w:sz w:val="20"/>
              </w:rPr>
              <w:t>t al</w:t>
            </w:r>
            <w:r>
              <w:rPr>
                <w:sz w:val="20"/>
              </w:rPr>
              <w:t>., 2019; ICCAT, 2023). Thus, this assessment focuses on the last stock assessment for the eastern population (spawning in the Mediterranean).</w:t>
            </w:r>
          </w:p>
          <w:p w14:paraId="10FD429B" w14:textId="77777777" w:rsidR="005042A3" w:rsidRDefault="00982504">
            <w:pPr>
              <w:pStyle w:val="TableParagraph"/>
              <w:spacing w:before="122"/>
              <w:ind w:left="110" w:right="91"/>
              <w:jc w:val="both"/>
              <w:rPr>
                <w:sz w:val="20"/>
              </w:rPr>
            </w:pPr>
            <w:r>
              <w:rPr>
                <w:sz w:val="20"/>
              </w:rPr>
              <w:t>In relation to the</w:t>
            </w:r>
            <w:r>
              <w:rPr>
                <w:spacing w:val="-1"/>
                <w:sz w:val="20"/>
              </w:rPr>
              <w:t xml:space="preserve"> </w:t>
            </w:r>
            <w:r>
              <w:rPr>
                <w:sz w:val="20"/>
              </w:rPr>
              <w:t>assessment of</w:t>
            </w:r>
            <w:r>
              <w:rPr>
                <w:spacing w:val="-1"/>
                <w:sz w:val="20"/>
              </w:rPr>
              <w:t xml:space="preserve"> </w:t>
            </w:r>
            <w:r>
              <w:rPr>
                <w:sz w:val="20"/>
              </w:rPr>
              <w:t>the</w:t>
            </w:r>
            <w:r>
              <w:rPr>
                <w:spacing w:val="-1"/>
                <w:sz w:val="20"/>
              </w:rPr>
              <w:t xml:space="preserve"> </w:t>
            </w:r>
            <w:r>
              <w:rPr>
                <w:sz w:val="20"/>
              </w:rPr>
              <w:t>impacts of</w:t>
            </w:r>
            <w:r>
              <w:rPr>
                <w:spacing w:val="-1"/>
                <w:sz w:val="20"/>
              </w:rPr>
              <w:t xml:space="preserve"> </w:t>
            </w:r>
            <w:r>
              <w:rPr>
                <w:sz w:val="20"/>
              </w:rPr>
              <w:t>climate</w:t>
            </w:r>
            <w:r>
              <w:rPr>
                <w:spacing w:val="-1"/>
                <w:sz w:val="20"/>
              </w:rPr>
              <w:t xml:space="preserve"> </w:t>
            </w:r>
            <w:r>
              <w:rPr>
                <w:sz w:val="20"/>
              </w:rPr>
              <w:t xml:space="preserve">change, Arrizabalaga </w:t>
            </w:r>
            <w:r>
              <w:rPr>
                <w:i/>
                <w:sz w:val="20"/>
              </w:rPr>
              <w:t>et al</w:t>
            </w:r>
            <w:r>
              <w:rPr>
                <w:sz w:val="20"/>
              </w:rPr>
              <w:t>.</w:t>
            </w:r>
            <w:r>
              <w:rPr>
                <w:spacing w:val="-1"/>
                <w:sz w:val="20"/>
              </w:rPr>
              <w:t xml:space="preserve"> </w:t>
            </w:r>
            <w:r>
              <w:rPr>
                <w:sz w:val="20"/>
              </w:rPr>
              <w:t>(2015) suggest that adult bluefin tuna could easily adapt to changes in physical habitat (as they can</w:t>
            </w:r>
            <w:r>
              <w:rPr>
                <w:spacing w:val="-5"/>
                <w:sz w:val="20"/>
              </w:rPr>
              <w:t xml:space="preserve"> </w:t>
            </w:r>
            <w:r>
              <w:rPr>
                <w:sz w:val="20"/>
              </w:rPr>
              <w:t>tolerate</w:t>
            </w:r>
            <w:r>
              <w:rPr>
                <w:spacing w:val="-6"/>
                <w:sz w:val="20"/>
              </w:rPr>
              <w:t xml:space="preserve"> </w:t>
            </w:r>
            <w:r>
              <w:rPr>
                <w:sz w:val="20"/>
              </w:rPr>
              <w:t>a</w:t>
            </w:r>
            <w:r>
              <w:rPr>
                <w:spacing w:val="-5"/>
                <w:sz w:val="20"/>
              </w:rPr>
              <w:t xml:space="preserve"> </w:t>
            </w:r>
            <w:r>
              <w:rPr>
                <w:sz w:val="20"/>
              </w:rPr>
              <w:t>wide</w:t>
            </w:r>
            <w:r>
              <w:rPr>
                <w:spacing w:val="-6"/>
                <w:sz w:val="20"/>
              </w:rPr>
              <w:t xml:space="preserve"> </w:t>
            </w:r>
            <w:r>
              <w:rPr>
                <w:sz w:val="20"/>
              </w:rPr>
              <w:t>range</w:t>
            </w:r>
            <w:r>
              <w:rPr>
                <w:spacing w:val="-6"/>
                <w:sz w:val="20"/>
              </w:rPr>
              <w:t xml:space="preserve"> </w:t>
            </w:r>
            <w:r>
              <w:rPr>
                <w:sz w:val="20"/>
              </w:rPr>
              <w:t>of</w:t>
            </w:r>
            <w:r>
              <w:rPr>
                <w:spacing w:val="-6"/>
                <w:sz w:val="20"/>
              </w:rPr>
              <w:t xml:space="preserve"> </w:t>
            </w:r>
            <w:r>
              <w:rPr>
                <w:sz w:val="20"/>
              </w:rPr>
              <w:t>temperatures</w:t>
            </w:r>
            <w:r>
              <w:rPr>
                <w:spacing w:val="-5"/>
                <w:sz w:val="20"/>
              </w:rPr>
              <w:t xml:space="preserve"> </w:t>
            </w:r>
            <w:r>
              <w:rPr>
                <w:sz w:val="20"/>
              </w:rPr>
              <w:t>and</w:t>
            </w:r>
            <w:r>
              <w:rPr>
                <w:spacing w:val="-5"/>
                <w:sz w:val="20"/>
              </w:rPr>
              <w:t xml:space="preserve"> </w:t>
            </w:r>
            <w:r>
              <w:rPr>
                <w:sz w:val="20"/>
              </w:rPr>
              <w:t>other</w:t>
            </w:r>
            <w:r>
              <w:rPr>
                <w:spacing w:val="-5"/>
                <w:sz w:val="20"/>
              </w:rPr>
              <w:t xml:space="preserve"> </w:t>
            </w:r>
            <w:r>
              <w:rPr>
                <w:sz w:val="20"/>
              </w:rPr>
              <w:t>environmental</w:t>
            </w:r>
            <w:r>
              <w:rPr>
                <w:spacing w:val="-6"/>
                <w:sz w:val="20"/>
              </w:rPr>
              <w:t xml:space="preserve"> </w:t>
            </w:r>
            <w:r>
              <w:rPr>
                <w:sz w:val="20"/>
              </w:rPr>
              <w:t>variables).</w:t>
            </w:r>
            <w:r>
              <w:rPr>
                <w:spacing w:val="-5"/>
                <w:sz w:val="20"/>
              </w:rPr>
              <w:t xml:space="preserve"> </w:t>
            </w:r>
            <w:r>
              <w:rPr>
                <w:sz w:val="20"/>
              </w:rPr>
              <w:t>However, Trueman</w:t>
            </w:r>
            <w:r>
              <w:rPr>
                <w:spacing w:val="-10"/>
                <w:sz w:val="20"/>
              </w:rPr>
              <w:t xml:space="preserve"> </w:t>
            </w:r>
            <w:r>
              <w:rPr>
                <w:i/>
                <w:sz w:val="20"/>
              </w:rPr>
              <w:t>et</w:t>
            </w:r>
            <w:r>
              <w:rPr>
                <w:i/>
                <w:spacing w:val="-10"/>
                <w:sz w:val="20"/>
              </w:rPr>
              <w:t xml:space="preserve"> </w:t>
            </w:r>
            <w:r>
              <w:rPr>
                <w:i/>
                <w:sz w:val="20"/>
              </w:rPr>
              <w:t>al</w:t>
            </w:r>
            <w:r>
              <w:rPr>
                <w:sz w:val="20"/>
              </w:rPr>
              <w:t>.</w:t>
            </w:r>
            <w:r>
              <w:rPr>
                <w:spacing w:val="-10"/>
                <w:sz w:val="20"/>
              </w:rPr>
              <w:t xml:space="preserve"> </w:t>
            </w:r>
            <w:r>
              <w:rPr>
                <w:sz w:val="20"/>
              </w:rPr>
              <w:t>(2023)</w:t>
            </w:r>
            <w:r>
              <w:rPr>
                <w:spacing w:val="-11"/>
                <w:sz w:val="20"/>
              </w:rPr>
              <w:t xml:space="preserve"> </w:t>
            </w:r>
            <w:r>
              <w:rPr>
                <w:sz w:val="20"/>
              </w:rPr>
              <w:t>identified</w:t>
            </w:r>
            <w:r>
              <w:rPr>
                <w:spacing w:val="-9"/>
                <w:sz w:val="20"/>
              </w:rPr>
              <w:t xml:space="preserve"> </w:t>
            </w:r>
            <w:r>
              <w:rPr>
                <w:sz w:val="20"/>
              </w:rPr>
              <w:t>that</w:t>
            </w:r>
            <w:r>
              <w:rPr>
                <w:spacing w:val="-12"/>
                <w:sz w:val="20"/>
              </w:rPr>
              <w:t xml:space="preserve"> </w:t>
            </w:r>
            <w:r>
              <w:rPr>
                <w:sz w:val="20"/>
              </w:rPr>
              <w:t>climate</w:t>
            </w:r>
            <w:r>
              <w:rPr>
                <w:spacing w:val="-11"/>
                <w:sz w:val="20"/>
              </w:rPr>
              <w:t xml:space="preserve"> </w:t>
            </w:r>
            <w:r>
              <w:rPr>
                <w:sz w:val="20"/>
              </w:rPr>
              <w:t>change</w:t>
            </w:r>
            <w:r>
              <w:rPr>
                <w:spacing w:val="-11"/>
                <w:sz w:val="20"/>
              </w:rPr>
              <w:t xml:space="preserve"> </w:t>
            </w:r>
            <w:r>
              <w:rPr>
                <w:sz w:val="20"/>
              </w:rPr>
              <w:t>could</w:t>
            </w:r>
            <w:r>
              <w:rPr>
                <w:spacing w:val="-9"/>
                <w:sz w:val="20"/>
              </w:rPr>
              <w:t xml:space="preserve"> </w:t>
            </w:r>
            <w:r>
              <w:rPr>
                <w:sz w:val="20"/>
              </w:rPr>
              <w:t>play</w:t>
            </w:r>
            <w:r>
              <w:rPr>
                <w:spacing w:val="-9"/>
                <w:sz w:val="20"/>
              </w:rPr>
              <w:t xml:space="preserve"> </w:t>
            </w:r>
            <w:r>
              <w:rPr>
                <w:sz w:val="20"/>
              </w:rPr>
              <w:t>a</w:t>
            </w:r>
            <w:r>
              <w:rPr>
                <w:spacing w:val="-10"/>
                <w:sz w:val="20"/>
              </w:rPr>
              <w:t xml:space="preserve"> </w:t>
            </w:r>
            <w:r>
              <w:rPr>
                <w:sz w:val="20"/>
              </w:rPr>
              <w:t>key</w:t>
            </w:r>
            <w:r>
              <w:rPr>
                <w:spacing w:val="-12"/>
                <w:sz w:val="20"/>
              </w:rPr>
              <w:t xml:space="preserve"> </w:t>
            </w:r>
            <w:r>
              <w:rPr>
                <w:sz w:val="20"/>
              </w:rPr>
              <w:t>role</w:t>
            </w:r>
            <w:r>
              <w:rPr>
                <w:spacing w:val="-11"/>
                <w:sz w:val="20"/>
              </w:rPr>
              <w:t xml:space="preserve"> </w:t>
            </w:r>
            <w:r>
              <w:rPr>
                <w:sz w:val="20"/>
              </w:rPr>
              <w:t>in</w:t>
            </w:r>
            <w:r>
              <w:rPr>
                <w:spacing w:val="-9"/>
                <w:sz w:val="20"/>
              </w:rPr>
              <w:t xml:space="preserve"> </w:t>
            </w:r>
            <w:r>
              <w:rPr>
                <w:sz w:val="20"/>
              </w:rPr>
              <w:t>their</w:t>
            </w:r>
            <w:r>
              <w:rPr>
                <w:spacing w:val="-10"/>
                <w:sz w:val="20"/>
              </w:rPr>
              <w:t xml:space="preserve"> </w:t>
            </w:r>
            <w:r>
              <w:rPr>
                <w:sz w:val="20"/>
              </w:rPr>
              <w:t>first</w:t>
            </w:r>
            <w:r>
              <w:rPr>
                <w:spacing w:val="-12"/>
                <w:sz w:val="20"/>
              </w:rPr>
              <w:t xml:space="preserve"> </w:t>
            </w:r>
            <w:r>
              <w:rPr>
                <w:sz w:val="20"/>
              </w:rPr>
              <w:t>year of life, and adaptation may depend on the extent of plasticity in the life cycle, including the possibility to spawn in the open Atlantic.</w:t>
            </w:r>
          </w:p>
        </w:tc>
      </w:tr>
      <w:tr w:rsidR="005042A3" w14:paraId="168CB004" w14:textId="77777777">
        <w:trPr>
          <w:trHeight w:val="5104"/>
        </w:trPr>
        <w:tc>
          <w:tcPr>
            <w:tcW w:w="2858" w:type="dxa"/>
          </w:tcPr>
          <w:p w14:paraId="5B2119E1" w14:textId="77777777" w:rsidR="005042A3" w:rsidRDefault="005042A3">
            <w:pPr>
              <w:pStyle w:val="TableParagraph"/>
              <w:rPr>
                <w:b/>
                <w:sz w:val="20"/>
              </w:rPr>
            </w:pPr>
          </w:p>
          <w:p w14:paraId="1FEAB929" w14:textId="77777777" w:rsidR="005042A3" w:rsidRDefault="005042A3">
            <w:pPr>
              <w:pStyle w:val="TableParagraph"/>
              <w:rPr>
                <w:b/>
                <w:sz w:val="20"/>
              </w:rPr>
            </w:pPr>
          </w:p>
          <w:p w14:paraId="0ACE2D5E" w14:textId="77777777" w:rsidR="005042A3" w:rsidRDefault="005042A3">
            <w:pPr>
              <w:pStyle w:val="TableParagraph"/>
              <w:rPr>
                <w:b/>
                <w:sz w:val="20"/>
              </w:rPr>
            </w:pPr>
          </w:p>
          <w:p w14:paraId="22AF2FF7" w14:textId="77777777" w:rsidR="005042A3" w:rsidRDefault="005042A3">
            <w:pPr>
              <w:pStyle w:val="TableParagraph"/>
              <w:rPr>
                <w:b/>
                <w:sz w:val="20"/>
              </w:rPr>
            </w:pPr>
          </w:p>
          <w:p w14:paraId="35CFCEC7" w14:textId="77777777" w:rsidR="005042A3" w:rsidRDefault="005042A3">
            <w:pPr>
              <w:pStyle w:val="TableParagraph"/>
              <w:rPr>
                <w:b/>
                <w:sz w:val="20"/>
              </w:rPr>
            </w:pPr>
          </w:p>
          <w:p w14:paraId="003C7D0B" w14:textId="77777777" w:rsidR="005042A3" w:rsidRDefault="005042A3">
            <w:pPr>
              <w:pStyle w:val="TableParagraph"/>
              <w:rPr>
                <w:b/>
                <w:sz w:val="20"/>
              </w:rPr>
            </w:pPr>
          </w:p>
          <w:p w14:paraId="2B95ACD2" w14:textId="77777777" w:rsidR="005042A3" w:rsidRDefault="005042A3">
            <w:pPr>
              <w:pStyle w:val="TableParagraph"/>
              <w:rPr>
                <w:b/>
                <w:sz w:val="20"/>
              </w:rPr>
            </w:pPr>
          </w:p>
          <w:p w14:paraId="2813B302" w14:textId="77777777" w:rsidR="005042A3" w:rsidRDefault="005042A3">
            <w:pPr>
              <w:pStyle w:val="TableParagraph"/>
              <w:spacing w:before="172"/>
              <w:rPr>
                <w:b/>
                <w:sz w:val="20"/>
              </w:rPr>
            </w:pPr>
          </w:p>
          <w:p w14:paraId="16C716DD" w14:textId="77777777" w:rsidR="005042A3" w:rsidRDefault="00982504">
            <w:pPr>
              <w:pStyle w:val="TableParagraph"/>
              <w:ind w:left="107" w:right="783"/>
              <w:rPr>
                <w:sz w:val="20"/>
              </w:rPr>
            </w:pPr>
            <w:r>
              <w:rPr>
                <w:sz w:val="20"/>
              </w:rPr>
              <w:t>Geographical</w:t>
            </w:r>
            <w:r>
              <w:rPr>
                <w:spacing w:val="-12"/>
                <w:sz w:val="20"/>
              </w:rPr>
              <w:t xml:space="preserve"> </w:t>
            </w:r>
            <w:r>
              <w:rPr>
                <w:sz w:val="20"/>
              </w:rPr>
              <w:t>range</w:t>
            </w:r>
            <w:r>
              <w:rPr>
                <w:spacing w:val="-11"/>
                <w:sz w:val="20"/>
              </w:rPr>
              <w:t xml:space="preserve"> </w:t>
            </w:r>
            <w:r>
              <w:rPr>
                <w:sz w:val="20"/>
              </w:rPr>
              <w:t xml:space="preserve">and distribution (additional evidence and </w:t>
            </w:r>
            <w:r>
              <w:rPr>
                <w:spacing w:val="-2"/>
                <w:sz w:val="20"/>
              </w:rPr>
              <w:t>information)</w:t>
            </w:r>
          </w:p>
        </w:tc>
        <w:tc>
          <w:tcPr>
            <w:tcW w:w="7428" w:type="dxa"/>
          </w:tcPr>
          <w:p w14:paraId="6EC4EC88" w14:textId="77777777" w:rsidR="005042A3" w:rsidRDefault="005042A3">
            <w:pPr>
              <w:pStyle w:val="TableParagraph"/>
              <w:spacing w:before="10" w:after="1"/>
              <w:rPr>
                <w:b/>
                <w:sz w:val="9"/>
              </w:rPr>
            </w:pPr>
          </w:p>
          <w:p w14:paraId="13B30BDB" w14:textId="77777777" w:rsidR="005042A3" w:rsidRDefault="00982504">
            <w:pPr>
              <w:pStyle w:val="TableParagraph"/>
              <w:ind w:left="110"/>
              <w:rPr>
                <w:sz w:val="20"/>
              </w:rPr>
            </w:pPr>
            <w:r>
              <w:rPr>
                <w:noProof/>
                <w:sz w:val="20"/>
              </w:rPr>
              <w:drawing>
                <wp:inline distT="0" distB="0" distL="0" distR="0" wp14:anchorId="1AE720DB" wp14:editId="2FE42EA0">
                  <wp:extent cx="4286511" cy="2743200"/>
                  <wp:effectExtent l="0" t="0" r="0" b="0"/>
                  <wp:docPr id="18" name="Image 18" descr="A map of the north america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descr="A map of the north america  Description automatically generated "/>
                          <pic:cNvPicPr/>
                        </pic:nvPicPr>
                        <pic:blipFill>
                          <a:blip r:embed="rId31" cstate="print"/>
                          <a:stretch>
                            <a:fillRect/>
                          </a:stretch>
                        </pic:blipFill>
                        <pic:spPr>
                          <a:xfrm>
                            <a:off x="0" y="0"/>
                            <a:ext cx="4286511" cy="2743200"/>
                          </a:xfrm>
                          <a:prstGeom prst="rect">
                            <a:avLst/>
                          </a:prstGeom>
                        </pic:spPr>
                      </pic:pic>
                    </a:graphicData>
                  </a:graphic>
                </wp:inline>
              </w:drawing>
            </w:r>
          </w:p>
          <w:p w14:paraId="56DA7A25" w14:textId="77777777" w:rsidR="005042A3" w:rsidRDefault="00982504">
            <w:pPr>
              <w:pStyle w:val="TableParagraph"/>
              <w:tabs>
                <w:tab w:val="left" w:pos="1464"/>
              </w:tabs>
              <w:spacing w:before="127"/>
              <w:ind w:left="1471" w:right="89" w:hanging="1361"/>
              <w:rPr>
                <w:sz w:val="17"/>
              </w:rPr>
            </w:pPr>
            <w:r>
              <w:rPr>
                <w:b/>
                <w:sz w:val="17"/>
              </w:rPr>
              <w:t>Figure A3.2</w:t>
            </w:r>
            <w:r>
              <w:rPr>
                <w:b/>
                <w:sz w:val="17"/>
              </w:rPr>
              <w:tab/>
            </w:r>
            <w:r>
              <w:rPr>
                <w:sz w:val="17"/>
              </w:rPr>
              <w:t xml:space="preserve">Distribution of Atlantic bluefin tuna. Source: FAO </w:t>
            </w:r>
            <w:hyperlink r:id="rId32">
              <w:r>
                <w:rPr>
                  <w:color w:val="0000FF"/>
                  <w:sz w:val="17"/>
                  <w:u w:val="single" w:color="0000FF"/>
                </w:rPr>
                <w:t>Aquatic Species Distribution Map</w:t>
              </w:r>
            </w:hyperlink>
            <w:r>
              <w:rPr>
                <w:color w:val="0000FF"/>
                <w:spacing w:val="40"/>
                <w:sz w:val="17"/>
              </w:rPr>
              <w:t xml:space="preserve"> </w:t>
            </w:r>
            <w:hyperlink r:id="rId33">
              <w:r>
                <w:rPr>
                  <w:color w:val="0000FF"/>
                  <w:sz w:val="17"/>
                  <w:u w:val="single" w:color="0000FF"/>
                </w:rPr>
                <w:t>Viewer</w:t>
              </w:r>
            </w:hyperlink>
            <w:r>
              <w:rPr>
                <w:color w:val="0000FF"/>
                <w:sz w:val="17"/>
              </w:rPr>
              <w:t xml:space="preserve"> </w:t>
            </w:r>
            <w:r>
              <w:rPr>
                <w:sz w:val="17"/>
              </w:rPr>
              <w:t>(2024)</w:t>
            </w:r>
          </w:p>
        </w:tc>
      </w:tr>
      <w:tr w:rsidR="005042A3" w14:paraId="006B28BE" w14:textId="77777777">
        <w:trPr>
          <w:trHeight w:val="976"/>
        </w:trPr>
        <w:tc>
          <w:tcPr>
            <w:tcW w:w="2858" w:type="dxa"/>
          </w:tcPr>
          <w:p w14:paraId="2E494360" w14:textId="77777777" w:rsidR="005042A3" w:rsidRDefault="00982504">
            <w:pPr>
              <w:pStyle w:val="TableParagraph"/>
              <w:spacing w:before="1"/>
              <w:ind w:left="107" w:right="783"/>
              <w:rPr>
                <w:sz w:val="20"/>
              </w:rPr>
            </w:pPr>
            <w:r>
              <w:rPr>
                <w:spacing w:val="-2"/>
                <w:sz w:val="20"/>
              </w:rPr>
              <w:t xml:space="preserve">Population/abundance </w:t>
            </w:r>
            <w:r>
              <w:rPr>
                <w:sz w:val="20"/>
              </w:rPr>
              <w:t>(species; additional evidence and</w:t>
            </w:r>
          </w:p>
          <w:p w14:paraId="4BAA7D03" w14:textId="77777777" w:rsidR="005042A3" w:rsidRDefault="00982504">
            <w:pPr>
              <w:pStyle w:val="TableParagraph"/>
              <w:spacing w:line="223" w:lineRule="exact"/>
              <w:ind w:left="107"/>
              <w:rPr>
                <w:sz w:val="20"/>
              </w:rPr>
            </w:pPr>
            <w:r>
              <w:rPr>
                <w:spacing w:val="-2"/>
                <w:sz w:val="20"/>
              </w:rPr>
              <w:t>information)</w:t>
            </w:r>
          </w:p>
        </w:tc>
        <w:tc>
          <w:tcPr>
            <w:tcW w:w="7428" w:type="dxa"/>
          </w:tcPr>
          <w:p w14:paraId="668AAC56" w14:textId="77777777" w:rsidR="005042A3" w:rsidRDefault="005042A3">
            <w:pPr>
              <w:pStyle w:val="TableParagraph"/>
              <w:spacing w:before="124"/>
              <w:rPr>
                <w:b/>
                <w:sz w:val="20"/>
              </w:rPr>
            </w:pPr>
          </w:p>
          <w:p w14:paraId="71024DAF" w14:textId="77777777" w:rsidR="005042A3" w:rsidRDefault="00982504">
            <w:pPr>
              <w:pStyle w:val="TableParagraph"/>
              <w:ind w:left="110"/>
              <w:rPr>
                <w:sz w:val="20"/>
              </w:rPr>
            </w:pPr>
            <w:r>
              <w:rPr>
                <w:sz w:val="20"/>
              </w:rPr>
              <w:t>No</w:t>
            </w:r>
            <w:r>
              <w:rPr>
                <w:spacing w:val="-9"/>
                <w:sz w:val="20"/>
              </w:rPr>
              <w:t xml:space="preserve"> </w:t>
            </w:r>
            <w:r>
              <w:rPr>
                <w:sz w:val="20"/>
              </w:rPr>
              <w:t>additional</w:t>
            </w:r>
            <w:r>
              <w:rPr>
                <w:spacing w:val="-8"/>
                <w:sz w:val="20"/>
              </w:rPr>
              <w:t xml:space="preserve"> </w:t>
            </w:r>
            <w:r>
              <w:rPr>
                <w:sz w:val="20"/>
              </w:rPr>
              <w:t>information</w:t>
            </w:r>
            <w:r>
              <w:rPr>
                <w:spacing w:val="-8"/>
                <w:sz w:val="20"/>
              </w:rPr>
              <w:t xml:space="preserve"> </w:t>
            </w:r>
            <w:r>
              <w:rPr>
                <w:spacing w:val="-2"/>
                <w:sz w:val="20"/>
              </w:rPr>
              <w:t>provided.</w:t>
            </w:r>
          </w:p>
        </w:tc>
      </w:tr>
      <w:tr w:rsidR="005042A3" w14:paraId="0A7BA51C" w14:textId="77777777">
        <w:trPr>
          <w:trHeight w:val="974"/>
        </w:trPr>
        <w:tc>
          <w:tcPr>
            <w:tcW w:w="2858" w:type="dxa"/>
          </w:tcPr>
          <w:p w14:paraId="2A069F5F" w14:textId="77777777" w:rsidR="005042A3" w:rsidRDefault="00982504">
            <w:pPr>
              <w:pStyle w:val="TableParagraph"/>
              <w:spacing w:before="121"/>
              <w:ind w:left="107" w:right="1018"/>
              <w:rPr>
                <w:sz w:val="20"/>
              </w:rPr>
            </w:pPr>
            <w:r>
              <w:rPr>
                <w:sz w:val="20"/>
              </w:rPr>
              <w:t>Condition</w:t>
            </w:r>
            <w:r>
              <w:rPr>
                <w:spacing w:val="-12"/>
                <w:sz w:val="20"/>
              </w:rPr>
              <w:t xml:space="preserve"> </w:t>
            </w:r>
            <w:r>
              <w:rPr>
                <w:sz w:val="20"/>
              </w:rPr>
              <w:t xml:space="preserve">(additional evidence and </w:t>
            </w:r>
            <w:r>
              <w:rPr>
                <w:spacing w:val="-2"/>
                <w:sz w:val="20"/>
              </w:rPr>
              <w:t>information)</w:t>
            </w:r>
          </w:p>
        </w:tc>
        <w:tc>
          <w:tcPr>
            <w:tcW w:w="7428" w:type="dxa"/>
          </w:tcPr>
          <w:p w14:paraId="5B1CC8A4" w14:textId="77777777" w:rsidR="005042A3" w:rsidRDefault="005042A3">
            <w:pPr>
              <w:pStyle w:val="TableParagraph"/>
              <w:spacing w:before="122"/>
              <w:rPr>
                <w:b/>
                <w:sz w:val="20"/>
              </w:rPr>
            </w:pPr>
          </w:p>
          <w:p w14:paraId="7A4A2BB5" w14:textId="77777777" w:rsidR="005042A3" w:rsidRDefault="00982504">
            <w:pPr>
              <w:pStyle w:val="TableParagraph"/>
              <w:ind w:left="110"/>
              <w:rPr>
                <w:sz w:val="20"/>
              </w:rPr>
            </w:pPr>
            <w:r>
              <w:rPr>
                <w:sz w:val="20"/>
              </w:rPr>
              <w:t>Information</w:t>
            </w:r>
            <w:r>
              <w:rPr>
                <w:spacing w:val="-7"/>
                <w:sz w:val="20"/>
              </w:rPr>
              <w:t xml:space="preserve"> </w:t>
            </w:r>
            <w:r>
              <w:rPr>
                <w:sz w:val="20"/>
              </w:rPr>
              <w:t>on</w:t>
            </w:r>
            <w:r>
              <w:rPr>
                <w:spacing w:val="-6"/>
                <w:sz w:val="20"/>
              </w:rPr>
              <w:t xml:space="preserve"> </w:t>
            </w:r>
            <w:r>
              <w:rPr>
                <w:sz w:val="20"/>
              </w:rPr>
              <w:t>recruitment</w:t>
            </w:r>
            <w:r>
              <w:rPr>
                <w:spacing w:val="-7"/>
                <w:sz w:val="20"/>
              </w:rPr>
              <w:t xml:space="preserve"> </w:t>
            </w:r>
            <w:r>
              <w:rPr>
                <w:sz w:val="20"/>
              </w:rPr>
              <w:t>trends</w:t>
            </w:r>
            <w:r>
              <w:rPr>
                <w:spacing w:val="-6"/>
                <w:sz w:val="20"/>
              </w:rPr>
              <w:t xml:space="preserve"> </w:t>
            </w:r>
            <w:r>
              <w:rPr>
                <w:sz w:val="20"/>
              </w:rPr>
              <w:t>is</w:t>
            </w:r>
            <w:r>
              <w:rPr>
                <w:spacing w:val="-6"/>
                <w:sz w:val="20"/>
              </w:rPr>
              <w:t xml:space="preserve"> </w:t>
            </w:r>
            <w:r>
              <w:rPr>
                <w:sz w:val="20"/>
              </w:rPr>
              <w:t>provided</w:t>
            </w:r>
            <w:r>
              <w:rPr>
                <w:spacing w:val="-6"/>
                <w:sz w:val="20"/>
              </w:rPr>
              <w:t xml:space="preserve"> </w:t>
            </w:r>
            <w:r>
              <w:rPr>
                <w:sz w:val="20"/>
              </w:rPr>
              <w:t>in</w:t>
            </w:r>
            <w:r>
              <w:rPr>
                <w:spacing w:val="-6"/>
                <w:sz w:val="20"/>
              </w:rPr>
              <w:t xml:space="preserve"> </w:t>
            </w:r>
            <w:r>
              <w:rPr>
                <w:sz w:val="20"/>
              </w:rPr>
              <w:t>ICCAT</w:t>
            </w:r>
            <w:r>
              <w:rPr>
                <w:spacing w:val="-8"/>
                <w:sz w:val="20"/>
              </w:rPr>
              <w:t xml:space="preserve"> </w:t>
            </w:r>
            <w:r>
              <w:rPr>
                <w:sz w:val="20"/>
              </w:rPr>
              <w:t>assessments</w:t>
            </w:r>
            <w:r>
              <w:rPr>
                <w:spacing w:val="-6"/>
                <w:sz w:val="20"/>
              </w:rPr>
              <w:t xml:space="preserve"> </w:t>
            </w:r>
            <w:r>
              <w:rPr>
                <w:sz w:val="20"/>
              </w:rPr>
              <w:t>(Figure</w:t>
            </w:r>
            <w:r>
              <w:rPr>
                <w:spacing w:val="-8"/>
                <w:sz w:val="20"/>
              </w:rPr>
              <w:t xml:space="preserve"> </w:t>
            </w:r>
            <w:r>
              <w:rPr>
                <w:spacing w:val="-2"/>
                <w:sz w:val="20"/>
              </w:rPr>
              <w:t>A3.3).</w:t>
            </w:r>
          </w:p>
        </w:tc>
      </w:tr>
    </w:tbl>
    <w:p w14:paraId="4479DB71" w14:textId="77777777" w:rsidR="005042A3" w:rsidRDefault="005042A3">
      <w:pPr>
        <w:pStyle w:val="TableParagraph"/>
        <w:rPr>
          <w:sz w:val="20"/>
        </w:rPr>
        <w:sectPr w:rsidR="005042A3">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5042A3" w14:paraId="6F0060B6" w14:textId="77777777">
        <w:trPr>
          <w:trHeight w:val="5051"/>
        </w:trPr>
        <w:tc>
          <w:tcPr>
            <w:tcW w:w="2858" w:type="dxa"/>
          </w:tcPr>
          <w:p w14:paraId="11E467B4" w14:textId="77777777" w:rsidR="005042A3" w:rsidRDefault="005042A3">
            <w:pPr>
              <w:pStyle w:val="TableParagraph"/>
              <w:rPr>
                <w:rFonts w:ascii="Times New Roman"/>
                <w:sz w:val="18"/>
              </w:rPr>
            </w:pPr>
          </w:p>
        </w:tc>
        <w:tc>
          <w:tcPr>
            <w:tcW w:w="7428" w:type="dxa"/>
          </w:tcPr>
          <w:p w14:paraId="026B1C37" w14:textId="77777777" w:rsidR="005042A3" w:rsidRDefault="005042A3">
            <w:pPr>
              <w:pStyle w:val="TableParagraph"/>
              <w:rPr>
                <w:b/>
                <w:sz w:val="9"/>
              </w:rPr>
            </w:pPr>
          </w:p>
          <w:p w14:paraId="622629D1" w14:textId="77777777" w:rsidR="005042A3" w:rsidRDefault="00982504">
            <w:pPr>
              <w:pStyle w:val="TableParagraph"/>
              <w:ind w:left="979"/>
              <w:rPr>
                <w:sz w:val="20"/>
              </w:rPr>
            </w:pPr>
            <w:r>
              <w:rPr>
                <w:noProof/>
                <w:sz w:val="20"/>
              </w:rPr>
              <w:drawing>
                <wp:inline distT="0" distB="0" distL="0" distR="0" wp14:anchorId="5FDD8B63" wp14:editId="513937F2">
                  <wp:extent cx="3050014" cy="1997963"/>
                  <wp:effectExtent l="0" t="0" r="0" b="0"/>
                  <wp:docPr id="19" name="Image 19" descr="A group of graphs with numbers and lines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descr="A group of graphs with numbers and lines  Description automatically generated "/>
                          <pic:cNvPicPr/>
                        </pic:nvPicPr>
                        <pic:blipFill>
                          <a:blip r:embed="rId34" cstate="print"/>
                          <a:stretch>
                            <a:fillRect/>
                          </a:stretch>
                        </pic:blipFill>
                        <pic:spPr>
                          <a:xfrm>
                            <a:off x="0" y="0"/>
                            <a:ext cx="3050014" cy="1997963"/>
                          </a:xfrm>
                          <a:prstGeom prst="rect">
                            <a:avLst/>
                          </a:prstGeom>
                        </pic:spPr>
                      </pic:pic>
                    </a:graphicData>
                  </a:graphic>
                </wp:inline>
              </w:drawing>
            </w:r>
          </w:p>
          <w:p w14:paraId="6D1F2DD6" w14:textId="77777777" w:rsidR="005042A3" w:rsidRDefault="00982504">
            <w:pPr>
              <w:pStyle w:val="TableParagraph"/>
              <w:tabs>
                <w:tab w:val="left" w:pos="1346"/>
              </w:tabs>
              <w:spacing w:before="199"/>
              <w:ind w:left="1358" w:right="88" w:hanging="1248"/>
              <w:jc w:val="both"/>
              <w:rPr>
                <w:sz w:val="17"/>
              </w:rPr>
            </w:pPr>
            <w:r>
              <w:rPr>
                <w:b/>
                <w:sz w:val="17"/>
              </w:rPr>
              <w:t>Figure</w:t>
            </w:r>
            <w:r>
              <w:rPr>
                <w:b/>
                <w:spacing w:val="-6"/>
                <w:sz w:val="17"/>
              </w:rPr>
              <w:t xml:space="preserve"> </w:t>
            </w:r>
            <w:r>
              <w:rPr>
                <w:b/>
                <w:sz w:val="17"/>
              </w:rPr>
              <w:t>A3.3</w:t>
            </w:r>
            <w:r>
              <w:rPr>
                <w:b/>
                <w:sz w:val="17"/>
              </w:rPr>
              <w:tab/>
            </w:r>
            <w:r>
              <w:rPr>
                <w:sz w:val="17"/>
              </w:rPr>
              <w:t>East</w:t>
            </w:r>
            <w:r>
              <w:rPr>
                <w:spacing w:val="-5"/>
                <w:sz w:val="17"/>
              </w:rPr>
              <w:t xml:space="preserve"> </w:t>
            </w:r>
            <w:r>
              <w:rPr>
                <w:sz w:val="17"/>
              </w:rPr>
              <w:t>Atlantic</w:t>
            </w:r>
            <w:r>
              <w:rPr>
                <w:spacing w:val="-6"/>
                <w:sz w:val="17"/>
              </w:rPr>
              <w:t xml:space="preserve"> </w:t>
            </w:r>
            <w:r>
              <w:rPr>
                <w:sz w:val="17"/>
              </w:rPr>
              <w:t>and</w:t>
            </w:r>
            <w:r>
              <w:rPr>
                <w:spacing w:val="-4"/>
                <w:sz w:val="17"/>
              </w:rPr>
              <w:t xml:space="preserve"> </w:t>
            </w:r>
            <w:r>
              <w:rPr>
                <w:sz w:val="17"/>
              </w:rPr>
              <w:t>Mediterranean</w:t>
            </w:r>
            <w:r>
              <w:rPr>
                <w:spacing w:val="-7"/>
                <w:sz w:val="17"/>
              </w:rPr>
              <w:t xml:space="preserve"> </w:t>
            </w:r>
            <w:r>
              <w:rPr>
                <w:sz w:val="17"/>
              </w:rPr>
              <w:t>recruitment</w:t>
            </w:r>
            <w:r>
              <w:rPr>
                <w:spacing w:val="-5"/>
                <w:sz w:val="17"/>
              </w:rPr>
              <w:t xml:space="preserve"> </w:t>
            </w:r>
            <w:r>
              <w:rPr>
                <w:sz w:val="17"/>
              </w:rPr>
              <w:t>trends</w:t>
            </w:r>
            <w:r>
              <w:rPr>
                <w:spacing w:val="-3"/>
                <w:sz w:val="17"/>
              </w:rPr>
              <w:t xml:space="preserve"> </w:t>
            </w:r>
            <w:r>
              <w:rPr>
                <w:sz w:val="17"/>
              </w:rPr>
              <w:t>estimated</w:t>
            </w:r>
            <w:r>
              <w:rPr>
                <w:spacing w:val="-7"/>
                <w:sz w:val="17"/>
              </w:rPr>
              <w:t xml:space="preserve"> </w:t>
            </w:r>
            <w:r>
              <w:rPr>
                <w:sz w:val="17"/>
              </w:rPr>
              <w:t>by</w:t>
            </w:r>
            <w:r>
              <w:rPr>
                <w:spacing w:val="-6"/>
                <w:sz w:val="17"/>
              </w:rPr>
              <w:t xml:space="preserve"> </w:t>
            </w:r>
            <w:r>
              <w:rPr>
                <w:sz w:val="17"/>
              </w:rPr>
              <w:t>three</w:t>
            </w:r>
            <w:r>
              <w:rPr>
                <w:spacing w:val="-4"/>
                <w:sz w:val="17"/>
              </w:rPr>
              <w:t xml:space="preserve"> </w:t>
            </w:r>
            <w:r>
              <w:rPr>
                <w:sz w:val="17"/>
              </w:rPr>
              <w:t>different</w:t>
            </w:r>
            <w:r>
              <w:rPr>
                <w:spacing w:val="-5"/>
                <w:sz w:val="17"/>
              </w:rPr>
              <w:t xml:space="preserve"> </w:t>
            </w:r>
            <w:r>
              <w:rPr>
                <w:sz w:val="17"/>
              </w:rPr>
              <w:t>stock</w:t>
            </w:r>
            <w:r>
              <w:rPr>
                <w:spacing w:val="40"/>
                <w:sz w:val="17"/>
              </w:rPr>
              <w:t xml:space="preserve"> </w:t>
            </w:r>
            <w:r>
              <w:rPr>
                <w:sz w:val="17"/>
              </w:rPr>
              <w:t>assessment models: VPA (blue lines), Stock Synthesis (green lines), and ASAP (orange</w:t>
            </w:r>
            <w:r>
              <w:rPr>
                <w:spacing w:val="40"/>
                <w:sz w:val="17"/>
              </w:rPr>
              <w:t xml:space="preserve"> </w:t>
            </w:r>
            <w:r>
              <w:rPr>
                <w:sz w:val="17"/>
              </w:rPr>
              <w:t>lines). Source: ICCAT (2023).</w:t>
            </w:r>
          </w:p>
          <w:p w14:paraId="602E65B3" w14:textId="77777777" w:rsidR="005042A3" w:rsidRDefault="00982504">
            <w:pPr>
              <w:pStyle w:val="TableParagraph"/>
              <w:spacing w:before="122"/>
              <w:ind w:left="110" w:right="91"/>
              <w:jc w:val="both"/>
              <w:rPr>
                <w:sz w:val="20"/>
              </w:rPr>
            </w:pPr>
            <w:r>
              <w:rPr>
                <w:sz w:val="20"/>
              </w:rPr>
              <w:t>The</w:t>
            </w:r>
            <w:r>
              <w:rPr>
                <w:spacing w:val="-7"/>
                <w:sz w:val="20"/>
              </w:rPr>
              <w:t xml:space="preserve"> </w:t>
            </w:r>
            <w:r>
              <w:rPr>
                <w:sz w:val="20"/>
              </w:rPr>
              <w:t>mean</w:t>
            </w:r>
            <w:r>
              <w:rPr>
                <w:spacing w:val="-6"/>
                <w:sz w:val="20"/>
              </w:rPr>
              <w:t xml:space="preserve"> </w:t>
            </w:r>
            <w:r>
              <w:rPr>
                <w:sz w:val="20"/>
              </w:rPr>
              <w:t>catch</w:t>
            </w:r>
            <w:r>
              <w:rPr>
                <w:spacing w:val="-6"/>
                <w:sz w:val="20"/>
              </w:rPr>
              <w:t xml:space="preserve"> </w:t>
            </w:r>
            <w:r>
              <w:rPr>
                <w:sz w:val="20"/>
              </w:rPr>
              <w:t>weight</w:t>
            </w:r>
            <w:r>
              <w:rPr>
                <w:spacing w:val="-6"/>
                <w:sz w:val="20"/>
              </w:rPr>
              <w:t xml:space="preserve"> </w:t>
            </w:r>
            <w:r>
              <w:rPr>
                <w:sz w:val="20"/>
              </w:rPr>
              <w:t>of</w:t>
            </w:r>
            <w:r>
              <w:rPr>
                <w:spacing w:val="-7"/>
                <w:sz w:val="20"/>
              </w:rPr>
              <w:t xml:space="preserve"> </w:t>
            </w:r>
            <w:r>
              <w:rPr>
                <w:sz w:val="20"/>
              </w:rPr>
              <w:t>Atlantic</w:t>
            </w:r>
            <w:r>
              <w:rPr>
                <w:spacing w:val="-7"/>
                <w:sz w:val="20"/>
              </w:rPr>
              <w:t xml:space="preserve"> </w:t>
            </w:r>
            <w:r>
              <w:rPr>
                <w:sz w:val="20"/>
              </w:rPr>
              <w:t>bluefin</w:t>
            </w:r>
            <w:r>
              <w:rPr>
                <w:spacing w:val="-6"/>
                <w:sz w:val="20"/>
              </w:rPr>
              <w:t xml:space="preserve"> </w:t>
            </w:r>
            <w:r>
              <w:rPr>
                <w:sz w:val="20"/>
              </w:rPr>
              <w:t>tuna</w:t>
            </w:r>
            <w:r>
              <w:rPr>
                <w:spacing w:val="-6"/>
                <w:sz w:val="20"/>
              </w:rPr>
              <w:t xml:space="preserve"> </w:t>
            </w:r>
            <w:r>
              <w:rPr>
                <w:sz w:val="20"/>
              </w:rPr>
              <w:t>has</w:t>
            </w:r>
            <w:r>
              <w:rPr>
                <w:spacing w:val="-5"/>
                <w:sz w:val="20"/>
              </w:rPr>
              <w:t xml:space="preserve"> </w:t>
            </w:r>
            <w:r>
              <w:rPr>
                <w:sz w:val="20"/>
              </w:rPr>
              <w:t>increased</w:t>
            </w:r>
            <w:r>
              <w:rPr>
                <w:spacing w:val="-6"/>
                <w:sz w:val="20"/>
              </w:rPr>
              <w:t xml:space="preserve"> </w:t>
            </w:r>
            <w:r>
              <w:rPr>
                <w:sz w:val="20"/>
              </w:rPr>
              <w:t>substantially</w:t>
            </w:r>
            <w:r>
              <w:rPr>
                <w:spacing w:val="-8"/>
                <w:sz w:val="20"/>
              </w:rPr>
              <w:t xml:space="preserve"> </w:t>
            </w:r>
            <w:r>
              <w:rPr>
                <w:sz w:val="20"/>
              </w:rPr>
              <w:t>since</w:t>
            </w:r>
            <w:r>
              <w:rPr>
                <w:spacing w:val="-7"/>
                <w:sz w:val="20"/>
              </w:rPr>
              <w:t xml:space="preserve"> </w:t>
            </w:r>
            <w:r>
              <w:rPr>
                <w:sz w:val="20"/>
              </w:rPr>
              <w:t>the</w:t>
            </w:r>
            <w:r>
              <w:rPr>
                <w:spacing w:val="-7"/>
                <w:sz w:val="20"/>
              </w:rPr>
              <w:t xml:space="preserve"> </w:t>
            </w:r>
            <w:r>
              <w:rPr>
                <w:sz w:val="20"/>
              </w:rPr>
              <w:t>early 1990s</w:t>
            </w:r>
            <w:r>
              <w:rPr>
                <w:spacing w:val="-9"/>
                <w:sz w:val="20"/>
              </w:rPr>
              <w:t xml:space="preserve"> </w:t>
            </w:r>
            <w:r>
              <w:rPr>
                <w:sz w:val="20"/>
              </w:rPr>
              <w:t>(ICCAT,</w:t>
            </w:r>
            <w:r>
              <w:rPr>
                <w:spacing w:val="-8"/>
                <w:sz w:val="20"/>
              </w:rPr>
              <w:t xml:space="preserve"> </w:t>
            </w:r>
            <w:r>
              <w:rPr>
                <w:sz w:val="20"/>
              </w:rPr>
              <w:t>2022).</w:t>
            </w:r>
            <w:r>
              <w:rPr>
                <w:spacing w:val="-9"/>
                <w:sz w:val="20"/>
              </w:rPr>
              <w:t xml:space="preserve"> </w:t>
            </w:r>
            <w:r>
              <w:rPr>
                <w:sz w:val="20"/>
              </w:rPr>
              <w:t>This</w:t>
            </w:r>
            <w:r>
              <w:rPr>
                <w:spacing w:val="-8"/>
                <w:sz w:val="20"/>
              </w:rPr>
              <w:t xml:space="preserve"> </w:t>
            </w:r>
            <w:r>
              <w:rPr>
                <w:sz w:val="20"/>
              </w:rPr>
              <w:t>is</w:t>
            </w:r>
            <w:r>
              <w:rPr>
                <w:spacing w:val="-8"/>
                <w:sz w:val="20"/>
              </w:rPr>
              <w:t xml:space="preserve"> </w:t>
            </w:r>
            <w:r>
              <w:rPr>
                <w:sz w:val="20"/>
              </w:rPr>
              <w:t>expected</w:t>
            </w:r>
            <w:r>
              <w:rPr>
                <w:spacing w:val="-8"/>
                <w:sz w:val="20"/>
              </w:rPr>
              <w:t xml:space="preserve"> </w:t>
            </w:r>
            <w:r>
              <w:rPr>
                <w:sz w:val="20"/>
              </w:rPr>
              <w:t>to</w:t>
            </w:r>
            <w:r>
              <w:rPr>
                <w:spacing w:val="-8"/>
                <w:sz w:val="20"/>
              </w:rPr>
              <w:t xml:space="preserve"> </w:t>
            </w:r>
            <w:r>
              <w:rPr>
                <w:sz w:val="20"/>
              </w:rPr>
              <w:t>result</w:t>
            </w:r>
            <w:r>
              <w:rPr>
                <w:spacing w:val="-8"/>
                <w:sz w:val="20"/>
              </w:rPr>
              <w:t xml:space="preserve"> </w:t>
            </w:r>
            <w:r>
              <w:rPr>
                <w:sz w:val="20"/>
              </w:rPr>
              <w:t>from</w:t>
            </w:r>
            <w:r>
              <w:rPr>
                <w:spacing w:val="-10"/>
                <w:sz w:val="20"/>
              </w:rPr>
              <w:t xml:space="preserve"> </w:t>
            </w:r>
            <w:r>
              <w:rPr>
                <w:sz w:val="20"/>
              </w:rPr>
              <w:t>changes</w:t>
            </w:r>
            <w:r>
              <w:rPr>
                <w:spacing w:val="-12"/>
                <w:sz w:val="20"/>
              </w:rPr>
              <w:t xml:space="preserve"> </w:t>
            </w:r>
            <w:r>
              <w:rPr>
                <w:sz w:val="20"/>
              </w:rPr>
              <w:t>in</w:t>
            </w:r>
            <w:r>
              <w:rPr>
                <w:spacing w:val="-8"/>
                <w:sz w:val="20"/>
              </w:rPr>
              <w:t xml:space="preserve"> </w:t>
            </w:r>
            <w:r>
              <w:rPr>
                <w:sz w:val="20"/>
              </w:rPr>
              <w:t>fishery</w:t>
            </w:r>
            <w:r>
              <w:rPr>
                <w:spacing w:val="-10"/>
                <w:sz w:val="20"/>
              </w:rPr>
              <w:t xml:space="preserve"> </w:t>
            </w:r>
            <w:r>
              <w:rPr>
                <w:sz w:val="20"/>
              </w:rPr>
              <w:t>selectivity</w:t>
            </w:r>
            <w:r>
              <w:rPr>
                <w:spacing w:val="-8"/>
                <w:sz w:val="20"/>
              </w:rPr>
              <w:t xml:space="preserve"> </w:t>
            </w:r>
            <w:r>
              <w:rPr>
                <w:sz w:val="20"/>
              </w:rPr>
              <w:t>to</w:t>
            </w:r>
            <w:r>
              <w:rPr>
                <w:spacing w:val="-8"/>
                <w:sz w:val="20"/>
              </w:rPr>
              <w:t xml:space="preserve"> </w:t>
            </w:r>
            <w:r>
              <w:rPr>
                <w:sz w:val="20"/>
              </w:rPr>
              <w:t>target larger individuals as well as any change in the size composition of the stock.</w:t>
            </w:r>
          </w:p>
        </w:tc>
      </w:tr>
      <w:tr w:rsidR="005042A3" w14:paraId="321DD2E4" w14:textId="77777777">
        <w:trPr>
          <w:trHeight w:val="2438"/>
        </w:trPr>
        <w:tc>
          <w:tcPr>
            <w:tcW w:w="2858" w:type="dxa"/>
          </w:tcPr>
          <w:p w14:paraId="7C8B1A67" w14:textId="77777777" w:rsidR="005042A3" w:rsidRDefault="005042A3">
            <w:pPr>
              <w:pStyle w:val="TableParagraph"/>
              <w:rPr>
                <w:b/>
                <w:sz w:val="20"/>
              </w:rPr>
            </w:pPr>
          </w:p>
          <w:p w14:paraId="7F80DE05" w14:textId="77777777" w:rsidR="005042A3" w:rsidRDefault="005042A3">
            <w:pPr>
              <w:pStyle w:val="TableParagraph"/>
              <w:rPr>
                <w:b/>
                <w:sz w:val="20"/>
              </w:rPr>
            </w:pPr>
          </w:p>
          <w:p w14:paraId="0DD268B8" w14:textId="77777777" w:rsidR="005042A3" w:rsidRDefault="005042A3">
            <w:pPr>
              <w:pStyle w:val="TableParagraph"/>
              <w:spacing w:before="120"/>
              <w:rPr>
                <w:b/>
                <w:sz w:val="20"/>
              </w:rPr>
            </w:pPr>
          </w:p>
          <w:p w14:paraId="5C081AE8" w14:textId="77777777" w:rsidR="005042A3" w:rsidRDefault="00982504">
            <w:pPr>
              <w:pStyle w:val="TableParagraph"/>
              <w:spacing w:before="1"/>
              <w:ind w:left="107" w:right="1086"/>
              <w:jc w:val="both"/>
              <w:rPr>
                <w:sz w:val="20"/>
              </w:rPr>
            </w:pPr>
            <w:r>
              <w:rPr>
                <w:sz w:val="20"/>
              </w:rPr>
              <w:t>Threats</w:t>
            </w:r>
            <w:r>
              <w:rPr>
                <w:spacing w:val="-12"/>
                <w:sz w:val="20"/>
              </w:rPr>
              <w:t xml:space="preserve"> </w:t>
            </w:r>
            <w:r>
              <w:rPr>
                <w:sz w:val="20"/>
              </w:rPr>
              <w:t>and</w:t>
            </w:r>
            <w:r>
              <w:rPr>
                <w:spacing w:val="-11"/>
                <w:sz w:val="20"/>
              </w:rPr>
              <w:t xml:space="preserve"> </w:t>
            </w:r>
            <w:r>
              <w:rPr>
                <w:sz w:val="20"/>
              </w:rPr>
              <w:t>impacts (additional</w:t>
            </w:r>
            <w:r>
              <w:rPr>
                <w:spacing w:val="-12"/>
                <w:sz w:val="20"/>
              </w:rPr>
              <w:t xml:space="preserve"> </w:t>
            </w:r>
            <w:r>
              <w:rPr>
                <w:sz w:val="20"/>
              </w:rPr>
              <w:t>evidence and information)</w:t>
            </w:r>
          </w:p>
        </w:tc>
        <w:tc>
          <w:tcPr>
            <w:tcW w:w="7428" w:type="dxa"/>
          </w:tcPr>
          <w:p w14:paraId="3DFD1BBC" w14:textId="77777777" w:rsidR="005042A3" w:rsidRDefault="00982504">
            <w:pPr>
              <w:pStyle w:val="TableParagraph"/>
              <w:spacing w:before="121"/>
              <w:ind w:left="110" w:right="91"/>
              <w:jc w:val="both"/>
              <w:rPr>
                <w:sz w:val="20"/>
              </w:rPr>
            </w:pPr>
            <w:r>
              <w:rPr>
                <w:sz w:val="20"/>
              </w:rPr>
              <w:t>A Recovery Plan for Atlantic bluefin tuna was implemented by ICCAT in 2006. Peak historical</w:t>
            </w:r>
            <w:r>
              <w:rPr>
                <w:spacing w:val="-8"/>
                <w:sz w:val="20"/>
              </w:rPr>
              <w:t xml:space="preserve"> </w:t>
            </w:r>
            <w:r>
              <w:rPr>
                <w:sz w:val="20"/>
              </w:rPr>
              <w:t>unsustainable</w:t>
            </w:r>
            <w:r>
              <w:rPr>
                <w:spacing w:val="-9"/>
                <w:sz w:val="20"/>
              </w:rPr>
              <w:t xml:space="preserve"> </w:t>
            </w:r>
            <w:r>
              <w:rPr>
                <w:sz w:val="20"/>
              </w:rPr>
              <w:t>and</w:t>
            </w:r>
            <w:r>
              <w:rPr>
                <w:spacing w:val="-7"/>
                <w:sz w:val="20"/>
              </w:rPr>
              <w:t xml:space="preserve"> </w:t>
            </w:r>
            <w:r>
              <w:rPr>
                <w:sz w:val="20"/>
              </w:rPr>
              <w:t>illegal</w:t>
            </w:r>
            <w:r>
              <w:rPr>
                <w:spacing w:val="-8"/>
                <w:sz w:val="20"/>
              </w:rPr>
              <w:t xml:space="preserve"> </w:t>
            </w:r>
            <w:r>
              <w:rPr>
                <w:sz w:val="20"/>
              </w:rPr>
              <w:t>catches</w:t>
            </w:r>
            <w:r>
              <w:rPr>
                <w:spacing w:val="-7"/>
                <w:sz w:val="20"/>
              </w:rPr>
              <w:t xml:space="preserve"> </w:t>
            </w:r>
            <w:r>
              <w:rPr>
                <w:sz w:val="20"/>
              </w:rPr>
              <w:t>of</w:t>
            </w:r>
            <w:r>
              <w:rPr>
                <w:spacing w:val="-9"/>
                <w:sz w:val="20"/>
              </w:rPr>
              <w:t xml:space="preserve"> </w:t>
            </w:r>
            <w:r>
              <w:rPr>
                <w:sz w:val="20"/>
              </w:rPr>
              <w:t>61</w:t>
            </w:r>
            <w:r>
              <w:rPr>
                <w:spacing w:val="-4"/>
                <w:sz w:val="20"/>
              </w:rPr>
              <w:t xml:space="preserve"> </w:t>
            </w:r>
            <w:r>
              <w:rPr>
                <w:sz w:val="20"/>
              </w:rPr>
              <w:t>000</w:t>
            </w:r>
            <w:r>
              <w:rPr>
                <w:spacing w:val="-8"/>
                <w:sz w:val="20"/>
              </w:rPr>
              <w:t xml:space="preserve"> </w:t>
            </w:r>
            <w:r>
              <w:rPr>
                <w:sz w:val="20"/>
              </w:rPr>
              <w:t>t</w:t>
            </w:r>
            <w:r>
              <w:rPr>
                <w:spacing w:val="-7"/>
                <w:sz w:val="20"/>
              </w:rPr>
              <w:t xml:space="preserve"> </w:t>
            </w:r>
            <w:r>
              <w:rPr>
                <w:sz w:val="20"/>
              </w:rPr>
              <w:t>in</w:t>
            </w:r>
            <w:r>
              <w:rPr>
                <w:spacing w:val="-7"/>
                <w:sz w:val="20"/>
              </w:rPr>
              <w:t xml:space="preserve"> </w:t>
            </w:r>
            <w:r>
              <w:rPr>
                <w:sz w:val="20"/>
              </w:rPr>
              <w:t>2007</w:t>
            </w:r>
            <w:r>
              <w:rPr>
                <w:spacing w:val="-8"/>
                <w:sz w:val="20"/>
              </w:rPr>
              <w:t xml:space="preserve"> </w:t>
            </w:r>
            <w:r>
              <w:rPr>
                <w:sz w:val="20"/>
              </w:rPr>
              <w:t>were</w:t>
            </w:r>
            <w:r>
              <w:rPr>
                <w:spacing w:val="-9"/>
                <w:sz w:val="20"/>
              </w:rPr>
              <w:t xml:space="preserve"> </w:t>
            </w:r>
            <w:r>
              <w:rPr>
                <w:sz w:val="20"/>
              </w:rPr>
              <w:t>reduced</w:t>
            </w:r>
            <w:r>
              <w:rPr>
                <w:spacing w:val="-7"/>
                <w:sz w:val="20"/>
              </w:rPr>
              <w:t xml:space="preserve"> </w:t>
            </w:r>
            <w:r>
              <w:rPr>
                <w:sz w:val="20"/>
              </w:rPr>
              <w:t>to</w:t>
            </w:r>
            <w:r>
              <w:rPr>
                <w:spacing w:val="-7"/>
                <w:sz w:val="20"/>
              </w:rPr>
              <w:t xml:space="preserve"> </w:t>
            </w:r>
            <w:r>
              <w:rPr>
                <w:sz w:val="20"/>
              </w:rPr>
              <w:t>catches</w:t>
            </w:r>
            <w:r>
              <w:rPr>
                <w:spacing w:val="-7"/>
                <w:sz w:val="20"/>
              </w:rPr>
              <w:t xml:space="preserve"> </w:t>
            </w:r>
            <w:r>
              <w:rPr>
                <w:sz w:val="20"/>
              </w:rPr>
              <w:t>of 9774 t by 2011. As overfishing ended, the stock substantially recovered and catches increased again, reaching 35706 t in 2022. For the period 2023−2025, even higher catch levels</w:t>
            </w:r>
            <w:r>
              <w:rPr>
                <w:spacing w:val="-7"/>
                <w:sz w:val="20"/>
              </w:rPr>
              <w:t xml:space="preserve"> </w:t>
            </w:r>
            <w:r>
              <w:rPr>
                <w:sz w:val="20"/>
              </w:rPr>
              <w:t>were</w:t>
            </w:r>
            <w:r>
              <w:rPr>
                <w:spacing w:val="-9"/>
                <w:sz w:val="20"/>
              </w:rPr>
              <w:t xml:space="preserve"> </w:t>
            </w:r>
            <w:r>
              <w:rPr>
                <w:sz w:val="20"/>
              </w:rPr>
              <w:t>permitted</w:t>
            </w:r>
            <w:r>
              <w:rPr>
                <w:spacing w:val="-7"/>
                <w:sz w:val="20"/>
              </w:rPr>
              <w:t xml:space="preserve"> </w:t>
            </w:r>
            <w:r>
              <w:rPr>
                <w:sz w:val="20"/>
              </w:rPr>
              <w:t>in</w:t>
            </w:r>
            <w:r>
              <w:rPr>
                <w:spacing w:val="-7"/>
                <w:sz w:val="20"/>
              </w:rPr>
              <w:t xml:space="preserve"> </w:t>
            </w:r>
            <w:r>
              <w:rPr>
                <w:sz w:val="20"/>
              </w:rPr>
              <w:t>the</w:t>
            </w:r>
            <w:r>
              <w:rPr>
                <w:spacing w:val="-9"/>
                <w:sz w:val="20"/>
              </w:rPr>
              <w:t xml:space="preserve"> </w:t>
            </w:r>
            <w:r>
              <w:rPr>
                <w:sz w:val="20"/>
              </w:rPr>
              <w:t>east</w:t>
            </w:r>
            <w:r>
              <w:rPr>
                <w:spacing w:val="-7"/>
                <w:sz w:val="20"/>
              </w:rPr>
              <w:t xml:space="preserve"> </w:t>
            </w:r>
            <w:r>
              <w:rPr>
                <w:sz w:val="20"/>
              </w:rPr>
              <w:t>Atlantic</w:t>
            </w:r>
            <w:r>
              <w:rPr>
                <w:spacing w:val="-8"/>
                <w:sz w:val="20"/>
              </w:rPr>
              <w:t xml:space="preserve"> </w:t>
            </w:r>
            <w:r>
              <w:rPr>
                <w:sz w:val="20"/>
              </w:rPr>
              <w:t>and</w:t>
            </w:r>
            <w:r>
              <w:rPr>
                <w:spacing w:val="-7"/>
                <w:sz w:val="20"/>
              </w:rPr>
              <w:t xml:space="preserve"> </w:t>
            </w:r>
            <w:r>
              <w:rPr>
                <w:sz w:val="20"/>
              </w:rPr>
              <w:t>Mediterranean</w:t>
            </w:r>
            <w:r>
              <w:rPr>
                <w:spacing w:val="-7"/>
                <w:sz w:val="20"/>
              </w:rPr>
              <w:t xml:space="preserve"> </w:t>
            </w:r>
            <w:r>
              <w:rPr>
                <w:sz w:val="20"/>
              </w:rPr>
              <w:t>(total</w:t>
            </w:r>
            <w:r>
              <w:rPr>
                <w:spacing w:val="-8"/>
                <w:sz w:val="20"/>
              </w:rPr>
              <w:t xml:space="preserve"> </w:t>
            </w:r>
            <w:r>
              <w:rPr>
                <w:sz w:val="20"/>
              </w:rPr>
              <w:t>allowable</w:t>
            </w:r>
            <w:r>
              <w:rPr>
                <w:spacing w:val="-6"/>
                <w:sz w:val="20"/>
              </w:rPr>
              <w:t xml:space="preserve"> </w:t>
            </w:r>
            <w:r>
              <w:rPr>
                <w:sz w:val="20"/>
              </w:rPr>
              <w:t>catch</w:t>
            </w:r>
            <w:r>
              <w:rPr>
                <w:spacing w:val="-7"/>
                <w:sz w:val="20"/>
              </w:rPr>
              <w:t xml:space="preserve"> </w:t>
            </w:r>
            <w:r>
              <w:rPr>
                <w:sz w:val="20"/>
              </w:rPr>
              <w:t>[TAC] for 2023−2025 is 40</w:t>
            </w:r>
            <w:r>
              <w:rPr>
                <w:spacing w:val="-2"/>
                <w:sz w:val="20"/>
              </w:rPr>
              <w:t xml:space="preserve"> </w:t>
            </w:r>
            <w:r>
              <w:rPr>
                <w:sz w:val="20"/>
              </w:rPr>
              <w:t>570 t). These current TAC values are the highest in history, but they are</w:t>
            </w:r>
            <w:r>
              <w:rPr>
                <w:spacing w:val="-2"/>
                <w:sz w:val="20"/>
              </w:rPr>
              <w:t xml:space="preserve"> </w:t>
            </w:r>
            <w:r>
              <w:rPr>
                <w:sz w:val="20"/>
              </w:rPr>
              <w:t>supported</w:t>
            </w:r>
            <w:r>
              <w:rPr>
                <w:spacing w:val="-3"/>
                <w:sz w:val="20"/>
              </w:rPr>
              <w:t xml:space="preserve"> </w:t>
            </w:r>
            <w:r>
              <w:rPr>
                <w:sz w:val="20"/>
              </w:rPr>
              <w:t>by</w:t>
            </w:r>
            <w:r>
              <w:rPr>
                <w:spacing w:val="-3"/>
                <w:sz w:val="20"/>
              </w:rPr>
              <w:t xml:space="preserve"> </w:t>
            </w:r>
            <w:r>
              <w:rPr>
                <w:sz w:val="20"/>
              </w:rPr>
              <w:t>the</w:t>
            </w:r>
            <w:r>
              <w:rPr>
                <w:spacing w:val="-2"/>
                <w:sz w:val="20"/>
              </w:rPr>
              <w:t xml:space="preserve"> </w:t>
            </w:r>
            <w:r>
              <w:rPr>
                <w:sz w:val="20"/>
              </w:rPr>
              <w:t>new</w:t>
            </w:r>
            <w:r>
              <w:rPr>
                <w:spacing w:val="-3"/>
                <w:sz w:val="20"/>
              </w:rPr>
              <w:t xml:space="preserve"> </w:t>
            </w:r>
            <w:r>
              <w:rPr>
                <w:sz w:val="20"/>
              </w:rPr>
              <w:t>management</w:t>
            </w:r>
            <w:r>
              <w:rPr>
                <w:spacing w:val="-1"/>
                <w:sz w:val="20"/>
              </w:rPr>
              <w:t xml:space="preserve"> </w:t>
            </w:r>
            <w:r>
              <w:rPr>
                <w:sz w:val="20"/>
              </w:rPr>
              <w:t>procedure</w:t>
            </w:r>
            <w:r>
              <w:rPr>
                <w:spacing w:val="-2"/>
                <w:sz w:val="20"/>
              </w:rPr>
              <w:t xml:space="preserve"> </w:t>
            </w:r>
            <w:r>
              <w:rPr>
                <w:sz w:val="20"/>
              </w:rPr>
              <w:t>adopted</w:t>
            </w:r>
            <w:r>
              <w:rPr>
                <w:spacing w:val="-1"/>
                <w:sz w:val="20"/>
              </w:rPr>
              <w:t xml:space="preserve"> </w:t>
            </w:r>
            <w:r>
              <w:rPr>
                <w:sz w:val="20"/>
              </w:rPr>
              <w:t>by</w:t>
            </w:r>
            <w:r>
              <w:rPr>
                <w:spacing w:val="-3"/>
                <w:sz w:val="20"/>
              </w:rPr>
              <w:t xml:space="preserve"> </w:t>
            </w:r>
            <w:r>
              <w:rPr>
                <w:sz w:val="20"/>
              </w:rPr>
              <w:t>ICCAT</w:t>
            </w:r>
            <w:r>
              <w:rPr>
                <w:spacing w:val="-3"/>
                <w:sz w:val="20"/>
              </w:rPr>
              <w:t xml:space="preserve"> </w:t>
            </w:r>
            <w:r>
              <w:rPr>
                <w:sz w:val="20"/>
              </w:rPr>
              <w:t>in</w:t>
            </w:r>
            <w:r>
              <w:rPr>
                <w:spacing w:val="-1"/>
                <w:sz w:val="20"/>
              </w:rPr>
              <w:t xml:space="preserve"> </w:t>
            </w:r>
            <w:r>
              <w:rPr>
                <w:sz w:val="20"/>
              </w:rPr>
              <w:t>2022,</w:t>
            </w:r>
            <w:r>
              <w:rPr>
                <w:spacing w:val="-1"/>
                <w:sz w:val="20"/>
              </w:rPr>
              <w:t xml:space="preserve"> </w:t>
            </w:r>
            <w:r>
              <w:rPr>
                <w:sz w:val="20"/>
              </w:rPr>
              <w:t>which</w:t>
            </w:r>
            <w:r>
              <w:rPr>
                <w:spacing w:val="-1"/>
                <w:sz w:val="20"/>
              </w:rPr>
              <w:t xml:space="preserve"> </w:t>
            </w:r>
            <w:r>
              <w:rPr>
                <w:sz w:val="20"/>
              </w:rPr>
              <w:t>was tested to be robust to main uncertainties considered (in productivity, biological parameters, population size and data sources).</w:t>
            </w:r>
          </w:p>
        </w:tc>
      </w:tr>
      <w:tr w:rsidR="005042A3" w14:paraId="5D3697CF" w14:textId="77777777">
        <w:trPr>
          <w:trHeight w:val="1703"/>
        </w:trPr>
        <w:tc>
          <w:tcPr>
            <w:tcW w:w="2858" w:type="dxa"/>
          </w:tcPr>
          <w:p w14:paraId="3D303544" w14:textId="77777777" w:rsidR="005042A3" w:rsidRDefault="00982504">
            <w:pPr>
              <w:pStyle w:val="TableParagraph"/>
              <w:spacing w:before="121"/>
              <w:ind w:left="107" w:right="783"/>
              <w:rPr>
                <w:sz w:val="20"/>
              </w:rPr>
            </w:pPr>
            <w:r>
              <w:rPr>
                <w:sz w:val="20"/>
              </w:rPr>
              <w:t xml:space="preserve">Measures that address key pressures from human activities or conserve the </w:t>
            </w:r>
            <w:r>
              <w:rPr>
                <w:spacing w:val="-2"/>
                <w:sz w:val="20"/>
              </w:rPr>
              <w:t xml:space="preserve">species/habitat </w:t>
            </w:r>
            <w:r>
              <w:rPr>
                <w:sz w:val="20"/>
              </w:rPr>
              <w:t>(additional</w:t>
            </w:r>
            <w:r>
              <w:rPr>
                <w:spacing w:val="-12"/>
                <w:sz w:val="20"/>
              </w:rPr>
              <w:t xml:space="preserve"> </w:t>
            </w:r>
            <w:r>
              <w:rPr>
                <w:sz w:val="20"/>
              </w:rPr>
              <w:t>information)</w:t>
            </w:r>
          </w:p>
        </w:tc>
        <w:tc>
          <w:tcPr>
            <w:tcW w:w="7428" w:type="dxa"/>
          </w:tcPr>
          <w:p w14:paraId="7D7853A2" w14:textId="77777777" w:rsidR="005042A3" w:rsidRDefault="005042A3">
            <w:pPr>
              <w:pStyle w:val="TableParagraph"/>
              <w:rPr>
                <w:b/>
                <w:sz w:val="20"/>
              </w:rPr>
            </w:pPr>
          </w:p>
          <w:p w14:paraId="0C2D5734" w14:textId="77777777" w:rsidR="005042A3" w:rsidRDefault="005042A3">
            <w:pPr>
              <w:pStyle w:val="TableParagraph"/>
              <w:rPr>
                <w:b/>
                <w:sz w:val="20"/>
              </w:rPr>
            </w:pPr>
          </w:p>
          <w:p w14:paraId="4277285A" w14:textId="77777777" w:rsidR="005042A3" w:rsidRDefault="005042A3">
            <w:pPr>
              <w:pStyle w:val="TableParagraph"/>
              <w:spacing w:before="58"/>
              <w:rPr>
                <w:b/>
                <w:sz w:val="20"/>
              </w:rPr>
            </w:pPr>
          </w:p>
          <w:p w14:paraId="7053E2F4" w14:textId="77777777" w:rsidR="005042A3" w:rsidRDefault="00982504">
            <w:pPr>
              <w:pStyle w:val="TableParagraph"/>
              <w:ind w:left="110"/>
              <w:rPr>
                <w:sz w:val="20"/>
              </w:rPr>
            </w:pPr>
            <w:r>
              <w:rPr>
                <w:sz w:val="20"/>
              </w:rPr>
              <w:t>No</w:t>
            </w:r>
            <w:r>
              <w:rPr>
                <w:spacing w:val="-9"/>
                <w:sz w:val="20"/>
              </w:rPr>
              <w:t xml:space="preserve"> </w:t>
            </w:r>
            <w:r>
              <w:rPr>
                <w:sz w:val="20"/>
              </w:rPr>
              <w:t>additional</w:t>
            </w:r>
            <w:r>
              <w:rPr>
                <w:spacing w:val="-8"/>
                <w:sz w:val="20"/>
              </w:rPr>
              <w:t xml:space="preserve"> </w:t>
            </w:r>
            <w:r>
              <w:rPr>
                <w:sz w:val="20"/>
              </w:rPr>
              <w:t>information</w:t>
            </w:r>
            <w:r>
              <w:rPr>
                <w:spacing w:val="-8"/>
                <w:sz w:val="20"/>
              </w:rPr>
              <w:t xml:space="preserve"> </w:t>
            </w:r>
            <w:r>
              <w:rPr>
                <w:spacing w:val="-2"/>
                <w:sz w:val="20"/>
              </w:rPr>
              <w:t>provided.</w:t>
            </w:r>
          </w:p>
        </w:tc>
      </w:tr>
      <w:tr w:rsidR="005042A3" w14:paraId="2F695185" w14:textId="77777777">
        <w:trPr>
          <w:trHeight w:val="729"/>
        </w:trPr>
        <w:tc>
          <w:tcPr>
            <w:tcW w:w="2858" w:type="dxa"/>
          </w:tcPr>
          <w:p w14:paraId="126AD311" w14:textId="77777777" w:rsidR="005042A3" w:rsidRDefault="00982504">
            <w:pPr>
              <w:pStyle w:val="TableParagraph"/>
              <w:spacing w:before="121"/>
              <w:ind w:left="107" w:right="783"/>
              <w:rPr>
                <w:sz w:val="20"/>
              </w:rPr>
            </w:pPr>
            <w:r>
              <w:rPr>
                <w:sz w:val="20"/>
              </w:rPr>
              <w:t>Knowledge gaps (additional</w:t>
            </w:r>
            <w:r>
              <w:rPr>
                <w:spacing w:val="-12"/>
                <w:sz w:val="20"/>
              </w:rPr>
              <w:t xml:space="preserve"> </w:t>
            </w:r>
            <w:r>
              <w:rPr>
                <w:sz w:val="20"/>
              </w:rPr>
              <w:t>information)</w:t>
            </w:r>
          </w:p>
        </w:tc>
        <w:tc>
          <w:tcPr>
            <w:tcW w:w="7428" w:type="dxa"/>
          </w:tcPr>
          <w:p w14:paraId="272FF81D" w14:textId="77777777" w:rsidR="005042A3" w:rsidRDefault="005042A3">
            <w:pPr>
              <w:pStyle w:val="TableParagraph"/>
              <w:spacing w:before="59"/>
              <w:rPr>
                <w:b/>
                <w:sz w:val="20"/>
              </w:rPr>
            </w:pPr>
          </w:p>
          <w:p w14:paraId="764E2834" w14:textId="77777777" w:rsidR="005042A3" w:rsidRDefault="00982504">
            <w:pPr>
              <w:pStyle w:val="TableParagraph"/>
              <w:ind w:left="110"/>
              <w:rPr>
                <w:sz w:val="20"/>
              </w:rPr>
            </w:pPr>
            <w:r>
              <w:rPr>
                <w:sz w:val="20"/>
              </w:rPr>
              <w:t>No</w:t>
            </w:r>
            <w:r>
              <w:rPr>
                <w:spacing w:val="-9"/>
                <w:sz w:val="20"/>
              </w:rPr>
              <w:t xml:space="preserve"> </w:t>
            </w:r>
            <w:r>
              <w:rPr>
                <w:sz w:val="20"/>
              </w:rPr>
              <w:t>additional</w:t>
            </w:r>
            <w:r>
              <w:rPr>
                <w:spacing w:val="-8"/>
                <w:sz w:val="20"/>
              </w:rPr>
              <w:t xml:space="preserve"> </w:t>
            </w:r>
            <w:r>
              <w:rPr>
                <w:sz w:val="20"/>
              </w:rPr>
              <w:t>information</w:t>
            </w:r>
            <w:r>
              <w:rPr>
                <w:spacing w:val="-8"/>
                <w:sz w:val="20"/>
              </w:rPr>
              <w:t xml:space="preserve"> </w:t>
            </w:r>
            <w:r>
              <w:rPr>
                <w:spacing w:val="-2"/>
                <w:sz w:val="20"/>
              </w:rPr>
              <w:t>provided.</w:t>
            </w:r>
          </w:p>
        </w:tc>
      </w:tr>
      <w:tr w:rsidR="005042A3" w14:paraId="6D9C8D16" w14:textId="77777777">
        <w:trPr>
          <w:trHeight w:val="2922"/>
        </w:trPr>
        <w:tc>
          <w:tcPr>
            <w:tcW w:w="2858" w:type="dxa"/>
          </w:tcPr>
          <w:p w14:paraId="76693441" w14:textId="77777777" w:rsidR="005042A3" w:rsidRDefault="005042A3">
            <w:pPr>
              <w:pStyle w:val="TableParagraph"/>
              <w:rPr>
                <w:b/>
                <w:sz w:val="20"/>
              </w:rPr>
            </w:pPr>
          </w:p>
          <w:p w14:paraId="3D0692C1" w14:textId="77777777" w:rsidR="005042A3" w:rsidRDefault="005042A3">
            <w:pPr>
              <w:pStyle w:val="TableParagraph"/>
              <w:rPr>
                <w:b/>
                <w:sz w:val="20"/>
              </w:rPr>
            </w:pPr>
          </w:p>
          <w:p w14:paraId="4038DABE" w14:textId="77777777" w:rsidR="005042A3" w:rsidRDefault="005042A3">
            <w:pPr>
              <w:pStyle w:val="TableParagraph"/>
              <w:rPr>
                <w:b/>
                <w:sz w:val="20"/>
              </w:rPr>
            </w:pPr>
          </w:p>
          <w:p w14:paraId="602C82B0" w14:textId="77777777" w:rsidR="005042A3" w:rsidRDefault="005042A3">
            <w:pPr>
              <w:pStyle w:val="TableParagraph"/>
              <w:spacing w:before="236"/>
              <w:rPr>
                <w:b/>
                <w:sz w:val="20"/>
              </w:rPr>
            </w:pPr>
          </w:p>
          <w:p w14:paraId="269E87B6" w14:textId="77777777" w:rsidR="005042A3" w:rsidRDefault="00982504">
            <w:pPr>
              <w:pStyle w:val="TableParagraph"/>
              <w:ind w:left="107"/>
              <w:rPr>
                <w:sz w:val="20"/>
              </w:rPr>
            </w:pPr>
            <w:r>
              <w:rPr>
                <w:spacing w:val="-2"/>
                <w:sz w:val="20"/>
              </w:rPr>
              <w:t>References</w:t>
            </w:r>
          </w:p>
        </w:tc>
        <w:tc>
          <w:tcPr>
            <w:tcW w:w="7428" w:type="dxa"/>
          </w:tcPr>
          <w:p w14:paraId="2AC90891" w14:textId="77777777" w:rsidR="005042A3" w:rsidRDefault="00982504">
            <w:pPr>
              <w:pStyle w:val="TableParagraph"/>
              <w:tabs>
                <w:tab w:val="left" w:pos="961"/>
                <w:tab w:val="left" w:pos="2217"/>
                <w:tab w:val="left" w:pos="3328"/>
                <w:tab w:val="left" w:pos="3995"/>
                <w:tab w:val="left" w:pos="5694"/>
                <w:tab w:val="left" w:pos="6566"/>
              </w:tabs>
              <w:spacing w:before="121"/>
              <w:ind w:left="110" w:right="92"/>
              <w:jc w:val="both"/>
              <w:rPr>
                <w:sz w:val="20"/>
              </w:rPr>
            </w:pPr>
            <w:proofErr w:type="spellStart"/>
            <w:r w:rsidRPr="00E815E8">
              <w:rPr>
                <w:sz w:val="20"/>
                <w:lang w:val="fr-FR"/>
              </w:rPr>
              <w:t>Arrizabalaga</w:t>
            </w:r>
            <w:proofErr w:type="spellEnd"/>
            <w:r w:rsidRPr="00E815E8">
              <w:rPr>
                <w:sz w:val="20"/>
                <w:lang w:val="fr-FR"/>
              </w:rPr>
              <w:t xml:space="preserve">, H., Dufour, F., Kell, L., </w:t>
            </w:r>
            <w:proofErr w:type="spellStart"/>
            <w:r w:rsidRPr="00E815E8">
              <w:rPr>
                <w:sz w:val="20"/>
                <w:lang w:val="fr-FR"/>
              </w:rPr>
              <w:t>Merino</w:t>
            </w:r>
            <w:proofErr w:type="spellEnd"/>
            <w:r w:rsidRPr="00E815E8">
              <w:rPr>
                <w:sz w:val="20"/>
                <w:lang w:val="fr-FR"/>
              </w:rPr>
              <w:t xml:space="preserve">, G., </w:t>
            </w:r>
            <w:proofErr w:type="spellStart"/>
            <w:r w:rsidRPr="00E815E8">
              <w:rPr>
                <w:sz w:val="20"/>
                <w:lang w:val="fr-FR"/>
              </w:rPr>
              <w:t>Ibaibarriaga</w:t>
            </w:r>
            <w:proofErr w:type="spellEnd"/>
            <w:r w:rsidRPr="00E815E8">
              <w:rPr>
                <w:sz w:val="20"/>
                <w:lang w:val="fr-FR"/>
              </w:rPr>
              <w:t xml:space="preserve">, L., </w:t>
            </w:r>
            <w:proofErr w:type="spellStart"/>
            <w:r w:rsidRPr="00E815E8">
              <w:rPr>
                <w:sz w:val="20"/>
                <w:lang w:val="fr-FR"/>
              </w:rPr>
              <w:t>Chust</w:t>
            </w:r>
            <w:proofErr w:type="spellEnd"/>
            <w:r w:rsidRPr="00E815E8">
              <w:rPr>
                <w:sz w:val="20"/>
                <w:lang w:val="fr-FR"/>
              </w:rPr>
              <w:t xml:space="preserve">, G., </w:t>
            </w:r>
            <w:proofErr w:type="spellStart"/>
            <w:r w:rsidRPr="00E815E8">
              <w:rPr>
                <w:sz w:val="20"/>
                <w:lang w:val="fr-FR"/>
              </w:rPr>
              <w:t>Irigoien</w:t>
            </w:r>
            <w:proofErr w:type="spellEnd"/>
            <w:r w:rsidRPr="00E815E8">
              <w:rPr>
                <w:sz w:val="20"/>
                <w:lang w:val="fr-FR"/>
              </w:rPr>
              <w:t xml:space="preserve">, X., </w:t>
            </w:r>
            <w:r w:rsidRPr="00E815E8">
              <w:rPr>
                <w:i/>
                <w:sz w:val="20"/>
                <w:lang w:val="fr-FR"/>
              </w:rPr>
              <w:t>et al</w:t>
            </w:r>
            <w:r w:rsidRPr="00E815E8">
              <w:rPr>
                <w:sz w:val="20"/>
                <w:lang w:val="fr-FR"/>
              </w:rPr>
              <w:t xml:space="preserve">. 2015. </w:t>
            </w:r>
            <w:r>
              <w:rPr>
                <w:sz w:val="20"/>
              </w:rPr>
              <w:t xml:space="preserve">Global habitat preferences of commercially valuable tuna. Deep-Sea Research </w:t>
            </w:r>
            <w:r>
              <w:rPr>
                <w:spacing w:val="-4"/>
                <w:sz w:val="20"/>
              </w:rPr>
              <w:t>Part</w:t>
            </w:r>
            <w:r>
              <w:rPr>
                <w:sz w:val="20"/>
              </w:rPr>
              <w:tab/>
            </w:r>
            <w:r>
              <w:rPr>
                <w:spacing w:val="-2"/>
                <w:sz w:val="20"/>
              </w:rPr>
              <w:t>II-Topical</w:t>
            </w:r>
            <w:r>
              <w:rPr>
                <w:sz w:val="20"/>
              </w:rPr>
              <w:tab/>
            </w:r>
            <w:r>
              <w:rPr>
                <w:spacing w:val="-2"/>
                <w:sz w:val="20"/>
              </w:rPr>
              <w:t>Studies</w:t>
            </w:r>
            <w:r>
              <w:rPr>
                <w:sz w:val="20"/>
              </w:rPr>
              <w:tab/>
            </w:r>
            <w:r>
              <w:rPr>
                <w:spacing w:val="-6"/>
                <w:sz w:val="20"/>
              </w:rPr>
              <w:t>in</w:t>
            </w:r>
            <w:r>
              <w:rPr>
                <w:sz w:val="20"/>
              </w:rPr>
              <w:tab/>
            </w:r>
            <w:r>
              <w:rPr>
                <w:spacing w:val="-2"/>
                <w:sz w:val="20"/>
              </w:rPr>
              <w:t>Oceanography</w:t>
            </w:r>
            <w:r>
              <w:rPr>
                <w:sz w:val="20"/>
              </w:rPr>
              <w:tab/>
            </w:r>
            <w:r>
              <w:rPr>
                <w:spacing w:val="-4"/>
                <w:sz w:val="20"/>
              </w:rPr>
              <w:t>113:</w:t>
            </w:r>
            <w:r>
              <w:rPr>
                <w:sz w:val="20"/>
              </w:rPr>
              <w:tab/>
            </w:r>
            <w:r>
              <w:rPr>
                <w:spacing w:val="-2"/>
                <w:sz w:val="20"/>
              </w:rPr>
              <w:t xml:space="preserve">102−112. </w:t>
            </w:r>
            <w:hyperlink r:id="rId35">
              <w:r>
                <w:rPr>
                  <w:color w:val="0000FF"/>
                  <w:spacing w:val="-2"/>
                  <w:sz w:val="20"/>
                  <w:u w:val="single" w:color="0000FF"/>
                </w:rPr>
                <w:t>https://doi.org/10.1016/j.dsr2.2014.07.001</w:t>
              </w:r>
            </w:hyperlink>
          </w:p>
          <w:p w14:paraId="7D5A6608" w14:textId="77777777" w:rsidR="005042A3" w:rsidRDefault="00982504">
            <w:pPr>
              <w:pStyle w:val="TableParagraph"/>
              <w:spacing w:before="120"/>
              <w:ind w:left="110" w:right="95"/>
              <w:jc w:val="both"/>
              <w:rPr>
                <w:sz w:val="20"/>
              </w:rPr>
            </w:pPr>
            <w:r>
              <w:rPr>
                <w:sz w:val="20"/>
              </w:rPr>
              <w:t>Fraile, I., Arrizabalaga, H. and Rooker, J.R. 2015. Origin of Atlantic bluefin tuna (</w:t>
            </w:r>
            <w:r>
              <w:rPr>
                <w:i/>
                <w:sz w:val="20"/>
              </w:rPr>
              <w:t>Thunnus thynnus</w:t>
            </w:r>
            <w:r>
              <w:rPr>
                <w:sz w:val="20"/>
              </w:rPr>
              <w:t xml:space="preserve">) in the Bay of Biscay. ICES Journal of Marine Science 72: 625−634. </w:t>
            </w:r>
            <w:hyperlink r:id="rId36">
              <w:r>
                <w:rPr>
                  <w:color w:val="0000FF"/>
                  <w:spacing w:val="-2"/>
                  <w:sz w:val="20"/>
                  <w:u w:val="single" w:color="0000FF"/>
                </w:rPr>
                <w:t>https://doi.org/10.1093/icesjms/fsu156</w:t>
              </w:r>
            </w:hyperlink>
          </w:p>
          <w:p w14:paraId="10094C6D" w14:textId="77777777" w:rsidR="005042A3" w:rsidRDefault="00982504">
            <w:pPr>
              <w:pStyle w:val="TableParagraph"/>
              <w:tabs>
                <w:tab w:val="left" w:pos="2172"/>
                <w:tab w:val="left" w:pos="4809"/>
                <w:tab w:val="right" w:pos="7320"/>
              </w:tabs>
              <w:spacing w:before="120"/>
              <w:ind w:left="110" w:right="93"/>
              <w:jc w:val="both"/>
              <w:rPr>
                <w:sz w:val="20"/>
              </w:rPr>
            </w:pPr>
            <w:r>
              <w:rPr>
                <w:sz w:val="20"/>
              </w:rPr>
              <w:t>ICCAT.</w:t>
            </w:r>
            <w:r>
              <w:rPr>
                <w:spacing w:val="-12"/>
                <w:sz w:val="20"/>
              </w:rPr>
              <w:t xml:space="preserve"> </w:t>
            </w:r>
            <w:r>
              <w:rPr>
                <w:sz w:val="20"/>
              </w:rPr>
              <w:t>2019.</w:t>
            </w:r>
            <w:r>
              <w:rPr>
                <w:spacing w:val="-10"/>
                <w:sz w:val="20"/>
              </w:rPr>
              <w:t xml:space="preserve"> </w:t>
            </w:r>
            <w:r>
              <w:rPr>
                <w:sz w:val="20"/>
              </w:rPr>
              <w:t>Specifications</w:t>
            </w:r>
            <w:r>
              <w:rPr>
                <w:spacing w:val="-10"/>
                <w:sz w:val="20"/>
              </w:rPr>
              <w:t xml:space="preserve"> </w:t>
            </w:r>
            <w:r>
              <w:rPr>
                <w:sz w:val="20"/>
              </w:rPr>
              <w:t>for</w:t>
            </w:r>
            <w:r>
              <w:rPr>
                <w:spacing w:val="-11"/>
                <w:sz w:val="20"/>
              </w:rPr>
              <w:t xml:space="preserve"> </w:t>
            </w:r>
            <w:r>
              <w:rPr>
                <w:sz w:val="20"/>
              </w:rPr>
              <w:t>MSE</w:t>
            </w:r>
            <w:r>
              <w:rPr>
                <w:spacing w:val="-10"/>
                <w:sz w:val="20"/>
              </w:rPr>
              <w:t xml:space="preserve"> </w:t>
            </w:r>
            <w:r>
              <w:rPr>
                <w:sz w:val="20"/>
              </w:rPr>
              <w:t>trials</w:t>
            </w:r>
            <w:r>
              <w:rPr>
                <w:spacing w:val="-10"/>
                <w:sz w:val="20"/>
              </w:rPr>
              <w:t xml:space="preserve"> </w:t>
            </w:r>
            <w:r>
              <w:rPr>
                <w:sz w:val="20"/>
              </w:rPr>
              <w:t>for</w:t>
            </w:r>
            <w:r>
              <w:rPr>
                <w:spacing w:val="-11"/>
                <w:sz w:val="20"/>
              </w:rPr>
              <w:t xml:space="preserve"> </w:t>
            </w:r>
            <w:r>
              <w:rPr>
                <w:sz w:val="20"/>
              </w:rPr>
              <w:t>bluefin</w:t>
            </w:r>
            <w:r>
              <w:rPr>
                <w:spacing w:val="-10"/>
                <w:sz w:val="20"/>
              </w:rPr>
              <w:t xml:space="preserve"> </w:t>
            </w:r>
            <w:r>
              <w:rPr>
                <w:sz w:val="20"/>
              </w:rPr>
              <w:t>tuna</w:t>
            </w:r>
            <w:r>
              <w:rPr>
                <w:spacing w:val="-11"/>
                <w:sz w:val="20"/>
              </w:rPr>
              <w:t xml:space="preserve"> </w:t>
            </w:r>
            <w:r>
              <w:rPr>
                <w:sz w:val="20"/>
              </w:rPr>
              <w:t>in</w:t>
            </w:r>
            <w:r>
              <w:rPr>
                <w:spacing w:val="-12"/>
                <w:sz w:val="20"/>
              </w:rPr>
              <w:t xml:space="preserve"> </w:t>
            </w:r>
            <w:r>
              <w:rPr>
                <w:sz w:val="20"/>
              </w:rPr>
              <w:t>the</w:t>
            </w:r>
            <w:r>
              <w:rPr>
                <w:spacing w:val="-11"/>
                <w:sz w:val="20"/>
              </w:rPr>
              <w:t xml:space="preserve"> </w:t>
            </w:r>
            <w:r>
              <w:rPr>
                <w:sz w:val="20"/>
              </w:rPr>
              <w:t>North</w:t>
            </w:r>
            <w:r>
              <w:rPr>
                <w:spacing w:val="-9"/>
                <w:sz w:val="20"/>
              </w:rPr>
              <w:t xml:space="preserve"> </w:t>
            </w:r>
            <w:r>
              <w:rPr>
                <w:sz w:val="20"/>
              </w:rPr>
              <w:t>Atlantic</w:t>
            </w:r>
            <w:r>
              <w:rPr>
                <w:spacing w:val="-11"/>
                <w:sz w:val="20"/>
              </w:rPr>
              <w:t xml:space="preserve"> </w:t>
            </w:r>
            <w:r>
              <w:rPr>
                <w:sz w:val="20"/>
              </w:rPr>
              <w:t>Version</w:t>
            </w:r>
            <w:r>
              <w:rPr>
                <w:spacing w:val="-10"/>
                <w:sz w:val="20"/>
              </w:rPr>
              <w:t xml:space="preserve"> </w:t>
            </w:r>
            <w:r>
              <w:rPr>
                <w:sz w:val="20"/>
              </w:rPr>
              <w:t xml:space="preserve">19- </w:t>
            </w:r>
            <w:r>
              <w:rPr>
                <w:spacing w:val="-5"/>
                <w:sz w:val="20"/>
              </w:rPr>
              <w:t>4:</w:t>
            </w:r>
            <w:r>
              <w:rPr>
                <w:sz w:val="20"/>
              </w:rPr>
              <w:tab/>
            </w:r>
            <w:r>
              <w:rPr>
                <w:spacing w:val="-2"/>
                <w:sz w:val="20"/>
              </w:rPr>
              <w:t>February</w:t>
            </w:r>
            <w:r>
              <w:rPr>
                <w:sz w:val="20"/>
              </w:rPr>
              <w:tab/>
            </w:r>
            <w:r>
              <w:rPr>
                <w:spacing w:val="-5"/>
                <w:sz w:val="20"/>
              </w:rPr>
              <w:t>15</w:t>
            </w:r>
            <w:proofErr w:type="gramStart"/>
            <w:r>
              <w:rPr>
                <w:sz w:val="20"/>
              </w:rPr>
              <w:tab/>
            </w:r>
            <w:r>
              <w:rPr>
                <w:spacing w:val="-4"/>
                <w:sz w:val="20"/>
              </w:rPr>
              <w:t>2019</w:t>
            </w:r>
            <w:proofErr w:type="gramEnd"/>
          </w:p>
          <w:p w14:paraId="4FC5AD77" w14:textId="77777777" w:rsidR="005042A3" w:rsidRDefault="00982504">
            <w:pPr>
              <w:pStyle w:val="TableParagraph"/>
              <w:spacing w:before="1"/>
              <w:ind w:left="110"/>
              <w:rPr>
                <w:sz w:val="20"/>
              </w:rPr>
            </w:pPr>
            <w:hyperlink r:id="rId37">
              <w:r>
                <w:rPr>
                  <w:color w:val="0000FF"/>
                  <w:spacing w:val="-2"/>
                  <w:sz w:val="20"/>
                  <w:u w:val="single" w:color="0000FF"/>
                </w:rPr>
                <w:t>https://www.iccat.int/Documents/Meetings/Docs/2019/add/2019_BFT_App_6.pdf</w:t>
              </w:r>
            </w:hyperlink>
          </w:p>
        </w:tc>
      </w:tr>
    </w:tbl>
    <w:p w14:paraId="29DD838C" w14:textId="77777777" w:rsidR="005042A3" w:rsidRDefault="005042A3">
      <w:pPr>
        <w:pStyle w:val="TableParagraph"/>
        <w:rPr>
          <w:sz w:val="20"/>
        </w:rPr>
        <w:sectPr w:rsidR="005042A3">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5042A3" w14:paraId="7E4B2960" w14:textId="77777777">
        <w:trPr>
          <w:trHeight w:val="3897"/>
        </w:trPr>
        <w:tc>
          <w:tcPr>
            <w:tcW w:w="2858" w:type="dxa"/>
          </w:tcPr>
          <w:p w14:paraId="320C63C2" w14:textId="77777777" w:rsidR="005042A3" w:rsidRDefault="005042A3">
            <w:pPr>
              <w:pStyle w:val="TableParagraph"/>
              <w:rPr>
                <w:rFonts w:ascii="Times New Roman"/>
                <w:sz w:val="18"/>
              </w:rPr>
            </w:pPr>
          </w:p>
        </w:tc>
        <w:tc>
          <w:tcPr>
            <w:tcW w:w="7428" w:type="dxa"/>
          </w:tcPr>
          <w:p w14:paraId="205BD169" w14:textId="77777777" w:rsidR="005042A3" w:rsidRDefault="00982504">
            <w:pPr>
              <w:pStyle w:val="TableParagraph"/>
              <w:spacing w:before="1"/>
              <w:ind w:left="110" w:right="93"/>
              <w:jc w:val="both"/>
              <w:rPr>
                <w:sz w:val="20"/>
              </w:rPr>
            </w:pPr>
            <w:r>
              <w:rPr>
                <w:sz w:val="20"/>
              </w:rPr>
              <w:t xml:space="preserve">ICCAT. 2022. Report of the 2022 Eastern Atlantic and Mediterranean bluefin tuna data preparatory meeting (including BFT MSE) (Online, 18-26 April 2022). 74 pp. </w:t>
            </w:r>
            <w:hyperlink r:id="rId38">
              <w:r>
                <w:rPr>
                  <w:color w:val="0000FF"/>
                  <w:spacing w:val="-2"/>
                  <w:sz w:val="20"/>
                  <w:u w:val="single" w:color="0000FF"/>
                </w:rPr>
                <w:t>https://www.iccat.int/Documents/Meetings/Docs/2022/REPORTS/2022_BFT_DP_ENG.p</w:t>
              </w:r>
            </w:hyperlink>
            <w:r>
              <w:rPr>
                <w:color w:val="0000FF"/>
                <w:spacing w:val="40"/>
                <w:sz w:val="20"/>
              </w:rPr>
              <w:t xml:space="preserve"> </w:t>
            </w:r>
            <w:hyperlink r:id="rId39">
              <w:proofErr w:type="spellStart"/>
              <w:r>
                <w:rPr>
                  <w:color w:val="0000FF"/>
                  <w:spacing w:val="-6"/>
                  <w:sz w:val="20"/>
                  <w:u w:val="single" w:color="0000FF"/>
                </w:rPr>
                <w:t>df</w:t>
              </w:r>
              <w:proofErr w:type="spellEnd"/>
            </w:hyperlink>
          </w:p>
          <w:p w14:paraId="7D7D6B01" w14:textId="77777777" w:rsidR="005042A3" w:rsidRDefault="00982504">
            <w:pPr>
              <w:pStyle w:val="TableParagraph"/>
              <w:spacing w:before="120"/>
              <w:ind w:left="110" w:right="93"/>
              <w:jc w:val="both"/>
              <w:rPr>
                <w:sz w:val="20"/>
              </w:rPr>
            </w:pPr>
            <w:r>
              <w:rPr>
                <w:sz w:val="20"/>
              </w:rPr>
              <w:t xml:space="preserve">ICCAT. 2023. Report of the Standing Committee on Research and Statistics (SCRS) (Hybrid/Madrid (Spain) 25-29 September 2023). 618 </w:t>
            </w:r>
            <w:proofErr w:type="gramStart"/>
            <w:r>
              <w:rPr>
                <w:sz w:val="20"/>
              </w:rPr>
              <w:t>pp</w:t>
            </w:r>
            <w:proofErr w:type="gramEnd"/>
            <w:r>
              <w:rPr>
                <w:sz w:val="20"/>
              </w:rPr>
              <w:t>.</w:t>
            </w:r>
          </w:p>
          <w:p w14:paraId="4F7EF89A" w14:textId="77777777" w:rsidR="005042A3" w:rsidRDefault="00982504">
            <w:pPr>
              <w:pStyle w:val="TableParagraph"/>
              <w:spacing w:before="119"/>
              <w:ind w:left="110" w:right="91"/>
              <w:jc w:val="both"/>
              <w:rPr>
                <w:sz w:val="20"/>
              </w:rPr>
            </w:pPr>
            <w:r>
              <w:rPr>
                <w:sz w:val="20"/>
              </w:rPr>
              <w:t xml:space="preserve">Rodríguez-Ezpeleta, N., Díaz-Arce, N., Walter III, J. F., Richardson, D. E., Rooker, J. R., </w:t>
            </w:r>
            <w:proofErr w:type="spellStart"/>
            <w:r>
              <w:rPr>
                <w:sz w:val="20"/>
              </w:rPr>
              <w:t>Nøttestad</w:t>
            </w:r>
            <w:proofErr w:type="spellEnd"/>
            <w:r>
              <w:rPr>
                <w:sz w:val="20"/>
              </w:rPr>
              <w:t>,</w:t>
            </w:r>
            <w:r>
              <w:rPr>
                <w:spacing w:val="-12"/>
                <w:sz w:val="20"/>
              </w:rPr>
              <w:t xml:space="preserve"> </w:t>
            </w:r>
            <w:r>
              <w:rPr>
                <w:sz w:val="20"/>
              </w:rPr>
              <w:t>L.,</w:t>
            </w:r>
            <w:r>
              <w:rPr>
                <w:spacing w:val="-11"/>
                <w:sz w:val="20"/>
              </w:rPr>
              <w:t xml:space="preserve"> </w:t>
            </w:r>
            <w:r>
              <w:rPr>
                <w:sz w:val="20"/>
              </w:rPr>
              <w:t>Hanke,</w:t>
            </w:r>
            <w:r>
              <w:rPr>
                <w:spacing w:val="-11"/>
                <w:sz w:val="20"/>
              </w:rPr>
              <w:t xml:space="preserve"> </w:t>
            </w:r>
            <w:r>
              <w:rPr>
                <w:sz w:val="20"/>
              </w:rPr>
              <w:t>A.</w:t>
            </w:r>
            <w:r>
              <w:rPr>
                <w:spacing w:val="-12"/>
                <w:sz w:val="20"/>
              </w:rPr>
              <w:t xml:space="preserve"> </w:t>
            </w:r>
            <w:r>
              <w:rPr>
                <w:sz w:val="20"/>
              </w:rPr>
              <w:t>R.</w:t>
            </w:r>
            <w:r>
              <w:rPr>
                <w:spacing w:val="-11"/>
                <w:sz w:val="20"/>
              </w:rPr>
              <w:t xml:space="preserve"> </w:t>
            </w:r>
            <w:r>
              <w:rPr>
                <w:i/>
                <w:sz w:val="20"/>
              </w:rPr>
              <w:t>et</w:t>
            </w:r>
            <w:r>
              <w:rPr>
                <w:i/>
                <w:spacing w:val="-11"/>
                <w:sz w:val="20"/>
              </w:rPr>
              <w:t xml:space="preserve"> </w:t>
            </w:r>
            <w:r>
              <w:rPr>
                <w:i/>
                <w:sz w:val="20"/>
              </w:rPr>
              <w:t>al</w:t>
            </w:r>
            <w:r>
              <w:rPr>
                <w:sz w:val="20"/>
              </w:rPr>
              <w:t>.</w:t>
            </w:r>
            <w:r>
              <w:rPr>
                <w:spacing w:val="-12"/>
                <w:sz w:val="20"/>
              </w:rPr>
              <w:t xml:space="preserve"> </w:t>
            </w:r>
            <w:r>
              <w:rPr>
                <w:sz w:val="20"/>
              </w:rPr>
              <w:t>2019.</w:t>
            </w:r>
            <w:r>
              <w:rPr>
                <w:spacing w:val="-11"/>
                <w:sz w:val="20"/>
              </w:rPr>
              <w:t xml:space="preserve"> </w:t>
            </w:r>
            <w:r>
              <w:rPr>
                <w:sz w:val="20"/>
              </w:rPr>
              <w:t>Determining</w:t>
            </w:r>
            <w:r>
              <w:rPr>
                <w:spacing w:val="-11"/>
                <w:sz w:val="20"/>
              </w:rPr>
              <w:t xml:space="preserve"> </w:t>
            </w:r>
            <w:r>
              <w:rPr>
                <w:sz w:val="20"/>
              </w:rPr>
              <w:t>natal</w:t>
            </w:r>
            <w:r>
              <w:rPr>
                <w:spacing w:val="-12"/>
                <w:sz w:val="20"/>
              </w:rPr>
              <w:t xml:space="preserve"> </w:t>
            </w:r>
            <w:r>
              <w:rPr>
                <w:sz w:val="20"/>
              </w:rPr>
              <w:t>origin</w:t>
            </w:r>
            <w:r>
              <w:rPr>
                <w:spacing w:val="-11"/>
                <w:sz w:val="20"/>
              </w:rPr>
              <w:t xml:space="preserve"> </w:t>
            </w:r>
            <w:r>
              <w:rPr>
                <w:sz w:val="20"/>
              </w:rPr>
              <w:t>for</w:t>
            </w:r>
            <w:r>
              <w:rPr>
                <w:spacing w:val="-11"/>
                <w:sz w:val="20"/>
              </w:rPr>
              <w:t xml:space="preserve"> </w:t>
            </w:r>
            <w:r>
              <w:rPr>
                <w:sz w:val="20"/>
              </w:rPr>
              <w:t>improved</w:t>
            </w:r>
            <w:r>
              <w:rPr>
                <w:spacing w:val="-11"/>
                <w:sz w:val="20"/>
              </w:rPr>
              <w:t xml:space="preserve"> </w:t>
            </w:r>
            <w:r>
              <w:rPr>
                <w:sz w:val="20"/>
              </w:rPr>
              <w:t xml:space="preserve">management of Atlantic bluefin tuna. Frontiers in Ecology and the Environment 17: 439−444. </w:t>
            </w:r>
            <w:hyperlink r:id="rId40">
              <w:r>
                <w:rPr>
                  <w:color w:val="0000FF"/>
                  <w:spacing w:val="-2"/>
                  <w:sz w:val="20"/>
                  <w:u w:val="single" w:color="0000FF"/>
                </w:rPr>
                <w:t>https://doi.org/10.1002/fee.2090</w:t>
              </w:r>
            </w:hyperlink>
          </w:p>
          <w:p w14:paraId="551413DF" w14:textId="77777777" w:rsidR="005042A3" w:rsidRDefault="00982504">
            <w:pPr>
              <w:pStyle w:val="TableParagraph"/>
              <w:spacing w:before="120"/>
              <w:ind w:left="110" w:right="89"/>
              <w:jc w:val="both"/>
              <w:rPr>
                <w:sz w:val="20"/>
              </w:rPr>
            </w:pPr>
            <w:r w:rsidRPr="00982504">
              <w:rPr>
                <w:sz w:val="20"/>
                <w:lang w:val="da-DK"/>
              </w:rPr>
              <w:t xml:space="preserve">Trueman, C.N., Artetxe-Arrate, I., Kerr, L.A., Meijers, A.J., Rooker, J.R., Sivankutty, R., Arrizabalaga, H., </w:t>
            </w:r>
            <w:r w:rsidRPr="00982504">
              <w:rPr>
                <w:i/>
                <w:sz w:val="20"/>
                <w:lang w:val="da-DK"/>
              </w:rPr>
              <w:t>et al</w:t>
            </w:r>
            <w:r w:rsidRPr="00982504">
              <w:rPr>
                <w:sz w:val="20"/>
                <w:lang w:val="da-DK"/>
              </w:rPr>
              <w:t xml:space="preserve">. 2023. </w:t>
            </w:r>
            <w:r>
              <w:rPr>
                <w:sz w:val="20"/>
              </w:rPr>
              <w:t xml:space="preserve">Thermal sensitivity of field metabolic rate predicts differential futures for bluefin tuna juveniles across the Atlantic Ocean. Nature </w:t>
            </w:r>
            <w:proofErr w:type="gramStart"/>
            <w:r>
              <w:rPr>
                <w:sz w:val="20"/>
              </w:rPr>
              <w:t>communications</w:t>
            </w:r>
            <w:proofErr w:type="gramEnd"/>
            <w:r>
              <w:rPr>
                <w:sz w:val="20"/>
              </w:rPr>
              <w:t xml:space="preserve"> 14: 7379. </w:t>
            </w:r>
            <w:hyperlink r:id="rId41">
              <w:r>
                <w:rPr>
                  <w:color w:val="0000FF"/>
                  <w:sz w:val="20"/>
                  <w:u w:val="single" w:color="0000FF"/>
                </w:rPr>
                <w:t>http://dx.doi.org/10.1038/s41467-023-41930-2</w:t>
              </w:r>
            </w:hyperlink>
          </w:p>
        </w:tc>
      </w:tr>
    </w:tbl>
    <w:p w14:paraId="247F4023" w14:textId="77777777" w:rsidR="00982504" w:rsidRDefault="00982504"/>
    <w:sectPr w:rsidR="00982504">
      <w:type w:val="continuous"/>
      <w:pgSz w:w="11920" w:h="16850"/>
      <w:pgMar w:top="1420" w:right="566" w:bottom="1160" w:left="566" w:header="746" w:footer="9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8D35" w14:textId="77777777" w:rsidR="00982504" w:rsidRDefault="00982504">
      <w:r>
        <w:separator/>
      </w:r>
    </w:p>
  </w:endnote>
  <w:endnote w:type="continuationSeparator" w:id="0">
    <w:p w14:paraId="16628751" w14:textId="77777777" w:rsidR="00982504" w:rsidRDefault="0098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56AE" w14:textId="74F49C88" w:rsidR="005042A3" w:rsidRDefault="00982504">
    <w:pPr>
      <w:pStyle w:val="BodyText"/>
      <w:spacing w:line="14" w:lineRule="auto"/>
      <w:rPr>
        <w:i w:val="0"/>
        <w:sz w:val="20"/>
      </w:rPr>
    </w:pPr>
    <w:r>
      <w:rPr>
        <w:i w:val="0"/>
        <w:noProof/>
        <w:sz w:val="20"/>
      </w:rPr>
      <mc:AlternateContent>
        <mc:Choice Requires="wps">
          <w:drawing>
            <wp:anchor distT="0" distB="0" distL="0" distR="0" simplePos="0" relativeHeight="251658240" behindDoc="1" locked="0" layoutInCell="1" allowOverlap="1" wp14:anchorId="1E5E88E2" wp14:editId="6725F495">
              <wp:simplePos x="0" y="0"/>
              <wp:positionH relativeFrom="page">
                <wp:posOffset>6958583</wp:posOffset>
              </wp:positionH>
              <wp:positionV relativeFrom="page">
                <wp:posOffset>9943210</wp:posOffset>
              </wp:positionV>
              <wp:extent cx="205104"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14:paraId="4B9BF83A" w14:textId="77777777" w:rsidR="005042A3" w:rsidRDefault="00982504">
                          <w:pPr>
                            <w:pStyle w:val="BodyText"/>
                            <w:spacing w:line="203" w:lineRule="exact"/>
                            <w:ind w:left="60"/>
                          </w:pPr>
                          <w:r>
                            <w:rPr>
                              <w:spacing w:val="-5"/>
                            </w:rPr>
                            <w:fldChar w:fldCharType="begin"/>
                          </w:r>
                          <w:r>
                            <w:rPr>
                              <w:spacing w:val="-5"/>
                            </w:rPr>
                            <w:instrText xml:space="preserve"> PAGE </w:instrText>
                          </w:r>
                          <w:r>
                            <w:rPr>
                              <w:spacing w:val="-5"/>
                            </w:rPr>
                            <w:fldChar w:fldCharType="separate"/>
                          </w:r>
                          <w:r>
                            <w:rPr>
                              <w:spacing w:val="-5"/>
                            </w:rPr>
                            <w:t>29</w:t>
                          </w:r>
                          <w:r>
                            <w:rPr>
                              <w:spacing w:val="-5"/>
                            </w:rPr>
                            <w:fldChar w:fldCharType="end"/>
                          </w:r>
                        </w:p>
                      </w:txbxContent>
                    </wps:txbx>
                    <wps:bodyPr wrap="square" lIns="0" tIns="0" rIns="0" bIns="0" rtlCol="0">
                      <a:noAutofit/>
                    </wps:bodyPr>
                  </wps:wsp>
                </a:graphicData>
              </a:graphic>
            </wp:anchor>
          </w:drawing>
        </mc:Choice>
        <mc:Fallback>
          <w:pict>
            <v:shapetype w14:anchorId="1E5E88E2" id="_x0000_t202" coordsize="21600,21600" o:spt="202" path="m,l,21600r21600,l21600,xe">
              <v:stroke joinstyle="miter"/>
              <v:path gradientshapeok="t" o:connecttype="rect"/>
            </v:shapetype>
            <v:shape id="Textbox 4" o:spid="_x0000_s1026" type="#_x0000_t202" style="position:absolute;margin-left:547.9pt;margin-top:782.95pt;width:16.1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" filled="f" stroked="f">
              <v:textbox inset="0,0,0,0">
                <w:txbxContent>
                  <w:p w14:paraId="4B9BF83A" w14:textId="77777777" w:rsidR="005042A3" w:rsidRDefault="00982504">
                    <w:pPr>
                      <w:pStyle w:val="BodyText"/>
                      <w:spacing w:line="203" w:lineRule="exact"/>
                      <w:ind w:left="60"/>
                    </w:pPr>
                    <w:r>
                      <w:rPr>
                        <w:spacing w:val="-5"/>
                      </w:rPr>
                      <w:fldChar w:fldCharType="begin"/>
                    </w:r>
                    <w:r>
                      <w:rPr>
                        <w:spacing w:val="-5"/>
                      </w:rPr>
                      <w:instrText xml:space="preserve"> PAGE </w:instrText>
                    </w:r>
                    <w:r>
                      <w:rPr>
                        <w:spacing w:val="-5"/>
                      </w:rPr>
                      <w:fldChar w:fldCharType="separate"/>
                    </w:r>
                    <w:r>
                      <w:rPr>
                        <w:spacing w:val="-5"/>
                      </w:rPr>
                      <w:t>29</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585C" w14:textId="6A219C88" w:rsidR="008C1F80" w:rsidRPr="008C1F80" w:rsidRDefault="008C1F80">
    <w:pPr>
      <w:pStyle w:val="Footer"/>
      <w:rPr>
        <w:i/>
        <w:iCs/>
      </w:rPr>
    </w:pPr>
    <w:r>
      <w:rPr>
        <w:i/>
        <w:iCs/>
      </w:rPr>
      <w:t>ICES Advice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8D947" w14:textId="77777777" w:rsidR="00982504" w:rsidRDefault="00982504">
      <w:r>
        <w:separator/>
      </w:r>
    </w:p>
  </w:footnote>
  <w:footnote w:type="continuationSeparator" w:id="0">
    <w:p w14:paraId="2B3F09E6" w14:textId="77777777" w:rsidR="00982504" w:rsidRDefault="0098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C213" w14:textId="77777777" w:rsidR="008C1F80" w:rsidRDefault="008C1F80" w:rsidP="008C1F80">
    <w:pPr>
      <w:pStyle w:val="BodyText"/>
      <w:spacing w:line="203" w:lineRule="exact"/>
      <w:ind w:left="20"/>
    </w:pPr>
    <w:r>
      <w:t>ICES</w:t>
    </w:r>
    <w:r>
      <w:rPr>
        <w:spacing w:val="-5"/>
      </w:rPr>
      <w:t xml:space="preserve"> </w:t>
    </w:r>
    <w:r>
      <w:t>Special</w:t>
    </w:r>
    <w:r>
      <w:rPr>
        <w:spacing w:val="-5"/>
      </w:rPr>
      <w:t xml:space="preserve"> </w:t>
    </w:r>
    <w:r>
      <w:t>Request</w:t>
    </w:r>
    <w:r>
      <w:rPr>
        <w:spacing w:val="-4"/>
      </w:rPr>
      <w:t xml:space="preserve"> </w:t>
    </w:r>
    <w:r>
      <w:rPr>
        <w:spacing w:val="-2"/>
      </w:rPr>
      <w:t>Advice</w:t>
    </w:r>
  </w:p>
  <w:p w14:paraId="5C2B1BF5" w14:textId="77777777" w:rsidR="008C1F80" w:rsidRDefault="008C1F80" w:rsidP="008C1F80">
    <w:pPr>
      <w:pStyle w:val="BodyText"/>
      <w:spacing w:before="1"/>
      <w:ind w:left="20"/>
    </w:pPr>
    <w:r>
      <w:rPr>
        <w:spacing w:val="-2"/>
      </w:rPr>
      <w:t>sr.2024.11</w:t>
    </w:r>
  </w:p>
  <w:p w14:paraId="424556F4" w14:textId="77777777" w:rsidR="008C1F80" w:rsidRDefault="008C1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8438A" w14:textId="77777777" w:rsidR="008C1F80" w:rsidRDefault="008C1F80" w:rsidP="008C1F80">
    <w:pPr>
      <w:pStyle w:val="BodyText"/>
      <w:spacing w:line="203" w:lineRule="exact"/>
      <w:ind w:left="20"/>
    </w:pPr>
    <w:r>
      <w:t>ICES</w:t>
    </w:r>
    <w:r>
      <w:rPr>
        <w:spacing w:val="-5"/>
      </w:rPr>
      <w:t xml:space="preserve"> </w:t>
    </w:r>
    <w:r>
      <w:t>Special</w:t>
    </w:r>
    <w:r>
      <w:rPr>
        <w:spacing w:val="-5"/>
      </w:rPr>
      <w:t xml:space="preserve"> </w:t>
    </w:r>
    <w:r>
      <w:t>Request</w:t>
    </w:r>
    <w:r>
      <w:rPr>
        <w:spacing w:val="-4"/>
      </w:rPr>
      <w:t xml:space="preserve"> </w:t>
    </w:r>
    <w:r>
      <w:rPr>
        <w:spacing w:val="-2"/>
      </w:rPr>
      <w:t>Advice</w:t>
    </w:r>
  </w:p>
  <w:p w14:paraId="78A3F539" w14:textId="77777777" w:rsidR="008C1F80" w:rsidRDefault="008C1F80" w:rsidP="008C1F80">
    <w:pPr>
      <w:pStyle w:val="BodyText"/>
      <w:spacing w:before="1"/>
      <w:ind w:left="20"/>
    </w:pPr>
    <w:r>
      <w:rPr>
        <w:spacing w:val="-2"/>
      </w:rPr>
      <w:t>sr.2024.11</w:t>
    </w:r>
  </w:p>
  <w:p w14:paraId="7822C21F" w14:textId="77777777" w:rsidR="008C1F80" w:rsidRDefault="008C1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25EA0"/>
    <w:multiLevelType w:val="hybridMultilevel"/>
    <w:tmpl w:val="D228EA36"/>
    <w:lvl w:ilvl="0" w:tplc="CE0C508E">
      <w:numFmt w:val="bullet"/>
      <w:lvlText w:val=""/>
      <w:lvlJc w:val="left"/>
      <w:pPr>
        <w:ind w:left="830" w:hanging="360"/>
      </w:pPr>
      <w:rPr>
        <w:rFonts w:ascii="Symbol" w:eastAsia="Symbol" w:hAnsi="Symbol" w:cs="Symbol" w:hint="default"/>
        <w:b w:val="0"/>
        <w:bCs w:val="0"/>
        <w:i w:val="0"/>
        <w:iCs w:val="0"/>
        <w:spacing w:val="0"/>
        <w:w w:val="99"/>
        <w:sz w:val="20"/>
        <w:szCs w:val="20"/>
        <w:lang w:val="en-US" w:eastAsia="en-US" w:bidi="ar-SA"/>
      </w:rPr>
    </w:lvl>
    <w:lvl w:ilvl="1" w:tplc="D5F24D1E">
      <w:numFmt w:val="bullet"/>
      <w:lvlText w:val="•"/>
      <w:lvlJc w:val="left"/>
      <w:pPr>
        <w:ind w:left="1536" w:hanging="360"/>
      </w:pPr>
      <w:rPr>
        <w:rFonts w:hint="default"/>
        <w:lang w:val="en-US" w:eastAsia="en-US" w:bidi="ar-SA"/>
      </w:rPr>
    </w:lvl>
    <w:lvl w:ilvl="2" w:tplc="CFC8A9FC">
      <w:numFmt w:val="bullet"/>
      <w:lvlText w:val="•"/>
      <w:lvlJc w:val="left"/>
      <w:pPr>
        <w:ind w:left="2232" w:hanging="360"/>
      </w:pPr>
      <w:rPr>
        <w:rFonts w:hint="default"/>
        <w:lang w:val="en-US" w:eastAsia="en-US" w:bidi="ar-SA"/>
      </w:rPr>
    </w:lvl>
    <w:lvl w:ilvl="3" w:tplc="D458DE2C">
      <w:numFmt w:val="bullet"/>
      <w:lvlText w:val="•"/>
      <w:lvlJc w:val="left"/>
      <w:pPr>
        <w:ind w:left="2929" w:hanging="360"/>
      </w:pPr>
      <w:rPr>
        <w:rFonts w:hint="default"/>
        <w:lang w:val="en-US" w:eastAsia="en-US" w:bidi="ar-SA"/>
      </w:rPr>
    </w:lvl>
    <w:lvl w:ilvl="4" w:tplc="DE12F538">
      <w:numFmt w:val="bullet"/>
      <w:lvlText w:val="•"/>
      <w:lvlJc w:val="left"/>
      <w:pPr>
        <w:ind w:left="3625" w:hanging="360"/>
      </w:pPr>
      <w:rPr>
        <w:rFonts w:hint="default"/>
        <w:lang w:val="en-US" w:eastAsia="en-US" w:bidi="ar-SA"/>
      </w:rPr>
    </w:lvl>
    <w:lvl w:ilvl="5" w:tplc="1E1809A4">
      <w:numFmt w:val="bullet"/>
      <w:lvlText w:val="•"/>
      <w:lvlJc w:val="left"/>
      <w:pPr>
        <w:ind w:left="4322" w:hanging="360"/>
      </w:pPr>
      <w:rPr>
        <w:rFonts w:hint="default"/>
        <w:lang w:val="en-US" w:eastAsia="en-US" w:bidi="ar-SA"/>
      </w:rPr>
    </w:lvl>
    <w:lvl w:ilvl="6" w:tplc="1910FD7A">
      <w:numFmt w:val="bullet"/>
      <w:lvlText w:val="•"/>
      <w:lvlJc w:val="left"/>
      <w:pPr>
        <w:ind w:left="5018" w:hanging="360"/>
      </w:pPr>
      <w:rPr>
        <w:rFonts w:hint="default"/>
        <w:lang w:val="en-US" w:eastAsia="en-US" w:bidi="ar-SA"/>
      </w:rPr>
    </w:lvl>
    <w:lvl w:ilvl="7" w:tplc="D42E64CA">
      <w:numFmt w:val="bullet"/>
      <w:lvlText w:val="•"/>
      <w:lvlJc w:val="left"/>
      <w:pPr>
        <w:ind w:left="5714" w:hanging="360"/>
      </w:pPr>
      <w:rPr>
        <w:rFonts w:hint="default"/>
        <w:lang w:val="en-US" w:eastAsia="en-US" w:bidi="ar-SA"/>
      </w:rPr>
    </w:lvl>
    <w:lvl w:ilvl="8" w:tplc="FC3C4F0E">
      <w:numFmt w:val="bullet"/>
      <w:lvlText w:val="•"/>
      <w:lvlJc w:val="left"/>
      <w:pPr>
        <w:ind w:left="6411" w:hanging="360"/>
      </w:pPr>
      <w:rPr>
        <w:rFonts w:hint="default"/>
        <w:lang w:val="en-US" w:eastAsia="en-US" w:bidi="ar-SA"/>
      </w:rPr>
    </w:lvl>
  </w:abstractNum>
  <w:num w:numId="1" w16cid:durableId="123617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042A3"/>
    <w:rsid w:val="000D27C8"/>
    <w:rsid w:val="00114D80"/>
    <w:rsid w:val="002834ED"/>
    <w:rsid w:val="00345EAF"/>
    <w:rsid w:val="003B6E9D"/>
    <w:rsid w:val="004038D4"/>
    <w:rsid w:val="005042A3"/>
    <w:rsid w:val="005E2F24"/>
    <w:rsid w:val="00711D02"/>
    <w:rsid w:val="007243BE"/>
    <w:rsid w:val="008C1F80"/>
    <w:rsid w:val="00982504"/>
    <w:rsid w:val="009900A0"/>
    <w:rsid w:val="00A20ABE"/>
    <w:rsid w:val="00C022BE"/>
    <w:rsid w:val="00D2429A"/>
    <w:rsid w:val="00E815E8"/>
    <w:rsid w:val="00EA2A9C"/>
    <w:rsid w:val="00FC03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4E0F62"/>
  <w15:docId w15:val="{A62B9701-37D4-4905-9B2B-3396C529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Title"/>
    <w:link w:val="Heading1Char"/>
    <w:qFormat/>
    <w:rsid w:val="002834ED"/>
    <w:pPr>
      <w:keepNext/>
      <w:widowControl/>
      <w:tabs>
        <w:tab w:val="left" w:pos="567"/>
      </w:tabs>
      <w:autoSpaceDE/>
      <w:autoSpaceDN/>
      <w:spacing w:before="140" w:after="140" w:line="280" w:lineRule="atLeast"/>
      <w:ind w:left="0"/>
      <w:outlineLvl w:val="0"/>
    </w:pPr>
    <w:rPr>
      <w:rFonts w:ascii="Arial" w:eastAsia="Microsoft YaHei" w:hAnsi="Arial" w:cs="Mangal"/>
      <w:b w:val="0"/>
      <w:bCs w:val="0"/>
      <w:color w:val="00000A"/>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18"/>
      <w:szCs w:val="18"/>
    </w:rPr>
  </w:style>
  <w:style w:type="paragraph" w:styleId="Title">
    <w:name w:val="Title"/>
    <w:basedOn w:val="Normal"/>
    <w:uiPriority w:val="10"/>
    <w:qFormat/>
    <w:pPr>
      <w:spacing w:line="268" w:lineRule="exact"/>
      <w:ind w:left="28"/>
    </w:pPr>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982504"/>
    <w:pPr>
      <w:widowControl/>
      <w:autoSpaceDE/>
      <w:autoSpaceDN/>
    </w:pPr>
    <w:rPr>
      <w:rFonts w:ascii="Calibri" w:eastAsia="Calibri" w:hAnsi="Calibri" w:cs="Calibri"/>
    </w:rPr>
  </w:style>
  <w:style w:type="paragraph" w:styleId="Header">
    <w:name w:val="header"/>
    <w:basedOn w:val="Normal"/>
    <w:link w:val="HeaderChar"/>
    <w:uiPriority w:val="99"/>
    <w:unhideWhenUsed/>
    <w:rsid w:val="00EA2A9C"/>
    <w:pPr>
      <w:tabs>
        <w:tab w:val="center" w:pos="4513"/>
        <w:tab w:val="right" w:pos="9026"/>
      </w:tabs>
    </w:pPr>
  </w:style>
  <w:style w:type="character" w:customStyle="1" w:styleId="HeaderChar">
    <w:name w:val="Header Char"/>
    <w:basedOn w:val="DefaultParagraphFont"/>
    <w:link w:val="Header"/>
    <w:uiPriority w:val="99"/>
    <w:rsid w:val="00EA2A9C"/>
    <w:rPr>
      <w:rFonts w:ascii="Calibri" w:eastAsia="Calibri" w:hAnsi="Calibri" w:cs="Calibri"/>
    </w:rPr>
  </w:style>
  <w:style w:type="paragraph" w:styleId="Footer">
    <w:name w:val="footer"/>
    <w:basedOn w:val="Normal"/>
    <w:link w:val="FooterChar"/>
    <w:uiPriority w:val="99"/>
    <w:unhideWhenUsed/>
    <w:rsid w:val="00EA2A9C"/>
    <w:pPr>
      <w:tabs>
        <w:tab w:val="center" w:pos="4513"/>
        <w:tab w:val="right" w:pos="9026"/>
      </w:tabs>
    </w:pPr>
  </w:style>
  <w:style w:type="character" w:customStyle="1" w:styleId="FooterChar">
    <w:name w:val="Footer Char"/>
    <w:basedOn w:val="DefaultParagraphFont"/>
    <w:link w:val="Footer"/>
    <w:uiPriority w:val="99"/>
    <w:rsid w:val="00EA2A9C"/>
    <w:rPr>
      <w:rFonts w:ascii="Calibri" w:eastAsia="Calibri" w:hAnsi="Calibri" w:cs="Calibri"/>
    </w:rPr>
  </w:style>
  <w:style w:type="character" w:customStyle="1" w:styleId="Heading1Char">
    <w:name w:val="Heading 1 Char"/>
    <w:basedOn w:val="DefaultParagraphFont"/>
    <w:link w:val="Heading1"/>
    <w:uiPriority w:val="9"/>
    <w:qFormat/>
    <w:rsid w:val="002834ED"/>
    <w:rPr>
      <w:rFonts w:ascii="Arial" w:eastAsia="Microsoft YaHei" w:hAnsi="Arial" w:cs="Mangal"/>
      <w:color w:val="00000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ospar.org/documents?v=6974" TargetMode="External"/><Relationship Id="rId18" Type="http://schemas.openxmlformats.org/officeDocument/2006/relationships/hyperlink" Target="https://doi.org/10.3389/fmars.2023.1165910" TargetMode="External"/><Relationship Id="rId26" Type="http://schemas.openxmlformats.org/officeDocument/2006/relationships/hyperlink" Target="https://www.iccat.int/Documents/Recs/compendiopdf-e/2023-07-e.pdf" TargetMode="External"/><Relationship Id="rId39" Type="http://schemas.openxmlformats.org/officeDocument/2006/relationships/hyperlink" Target="https://www.iccat.int/Documents/Meetings/Docs/2022/REPORTS/2022_BFT_DP_ENG.pdf" TargetMode="External"/><Relationship Id="rId21" Type="http://schemas.openxmlformats.org/officeDocument/2006/relationships/hyperlink" Target="https://doi.org/10.1126/sciadv.aar6993" TargetMode="External"/><Relationship Id="rId34" Type="http://schemas.openxmlformats.org/officeDocument/2006/relationships/image" Target="media/image4.jpeg"/><Relationship Id="rId42" Type="http://schemas.openxmlformats.org/officeDocument/2006/relationships/fontTable" Target="fontTable.xml"/><Relationship Id="rId7" Type="http://schemas.openxmlformats.org/officeDocument/2006/relationships/hyperlink" Target="https://qsr2010.ospar.org/en/media/content_pdf/ch10/QSR_CH10_EN_Tab_10_2.pdf"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s://doi.org/10.1111/gcb.14630" TargetMode="External"/><Relationship Id="rId29" Type="http://schemas.openxmlformats.org/officeDocument/2006/relationships/hyperlink" Target="https://doi.org/10.1002/fee.2090" TargetMode="External"/><Relationship Id="rId41" Type="http://schemas.openxmlformats.org/officeDocument/2006/relationships/hyperlink" Target="http://dx.doi.org/10.1038/s41467-023-4193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s://www.iccat.int/Documents/Recs/compendiopdf-e/2022-08-e.pdf" TargetMode="External"/><Relationship Id="rId32" Type="http://schemas.openxmlformats.org/officeDocument/2006/relationships/hyperlink" Target="https://www.fao.org/fishery/geoserver/factsheets/species.html" TargetMode="External"/><Relationship Id="rId37" Type="http://schemas.openxmlformats.org/officeDocument/2006/relationships/hyperlink" Target="https://www.iccat.int/Documents/Meetings/Docs/2019/add/2019_BFT_App_6.pdf" TargetMode="External"/><Relationship Id="rId40" Type="http://schemas.openxmlformats.org/officeDocument/2006/relationships/hyperlink" Target="https://doi.org/10.1002/fee.2090"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hyperlink" Target="https://doi.org/10.1139/cjfas-2020-0444" TargetMode="External"/><Relationship Id="rId28" Type="http://schemas.openxmlformats.org/officeDocument/2006/relationships/hyperlink" Target="https://doi.org/10.1016/j.fishres.2020.105689" TargetMode="External"/><Relationship Id="rId36" Type="http://schemas.openxmlformats.org/officeDocument/2006/relationships/hyperlink" Target="https://doi.org/10.1093/icesjms/fsu156" TargetMode="External"/><Relationship Id="rId10" Type="http://schemas.openxmlformats.org/officeDocument/2006/relationships/footer" Target="footer1.xml"/><Relationship Id="rId19" Type="http://schemas.openxmlformats.org/officeDocument/2006/relationships/hyperlink" Target="https://doi.org/10.1111/mec.17188" TargetMode="External"/><Relationship Id="rId31"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ospar.org/documents?v=7363" TargetMode="External"/><Relationship Id="rId22" Type="http://schemas.openxmlformats.org/officeDocument/2006/relationships/hyperlink" Target="https://doi.org/10.1093/icesjms/fsu156" TargetMode="External"/><Relationship Id="rId27" Type="http://schemas.openxmlformats.org/officeDocument/2006/relationships/hyperlink" Target="https://doi.org/10.1111/gcb.12597" TargetMode="External"/><Relationship Id="rId30" Type="http://schemas.openxmlformats.org/officeDocument/2006/relationships/hyperlink" Target="http://dx.doi.org/10.1038/s41467-023-41930-2" TargetMode="External"/><Relationship Id="rId35" Type="http://schemas.openxmlformats.org/officeDocument/2006/relationships/hyperlink" Target="https://doi.org/10.1016/j.dsr2.2014.07.001" TargetMode="External"/><Relationship Id="rId43" Type="http://schemas.openxmlformats.org/officeDocument/2006/relationships/theme" Target="theme/theme1.xml"/><Relationship Id="rId8" Type="http://schemas.openxmlformats.org/officeDocument/2006/relationships/hyperlink" Target="https://qsr2010.ospar.org/en/media/content_pdf/ch10/QSR_CH10_EN_Tab_10_3.pdf" TargetMode="Externa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doi.org/10.1038/s41598-022-15819-x" TargetMode="External"/><Relationship Id="rId25" Type="http://schemas.openxmlformats.org/officeDocument/2006/relationships/hyperlink" Target="https://www.iccat.int/Documents/Meetings/Docs/2023/REPORTS/2023_SCRS_ENG.pdf" TargetMode="External"/><Relationship Id="rId33" Type="http://schemas.openxmlformats.org/officeDocument/2006/relationships/hyperlink" Target="https://www.fao.org/fishery/geoserver/factsheets/species.html" TargetMode="External"/><Relationship Id="rId38" Type="http://schemas.openxmlformats.org/officeDocument/2006/relationships/hyperlink" Target="https://www.iccat.int/Documents/Meetings/Docs/2022/REPORTS/2022_BFT_DP_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10</Pages>
  <Words>2972</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Bundesamt für Naturschutz</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OSPAR</dc:creator>
  <cp:lastModifiedBy>Eleanor Dening</cp:lastModifiedBy>
  <cp:revision>9</cp:revision>
  <dcterms:created xsi:type="dcterms:W3CDTF">2025-07-17T10:51:00Z</dcterms:created>
  <dcterms:modified xsi:type="dcterms:W3CDTF">2025-10-14T13:37:00Z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0x010100EF483604DF26A5429ECB0051D9AB4023</vt:lpwstr>
  </property>
  <property fmtid="{D5CDD505-2E9C-101B-9397-08002B2CF9AE}" pid="3" name="Created">
    <vt:filetime>2024-07-05T00:00:00Z</vt:filetime>
  </property>
  <property fmtid="{D5CDD505-2E9C-101B-9397-08002B2CF9AE}" pid="4" name="Creator">
    <vt:lpwstr>Acrobat PDFMaker 24 for Word</vt:lpwstr>
  </property>
  <property fmtid="{D5CDD505-2E9C-101B-9397-08002B2CF9AE}" pid="5" name="LastSaved">
    <vt:filetime>2025-07-17T00:00:00Z</vt:filetime>
  </property>
  <property fmtid="{D5CDD505-2E9C-101B-9397-08002B2CF9AE}" pid="6" name="MediaServiceImageTags">
    <vt:lpwstr/>
  </property>
  <property fmtid="{D5CDD505-2E9C-101B-9397-08002B2CF9AE}" pid="7" name="Producer">
    <vt:lpwstr>Adobe PDF Library 24.2.159</vt:lpwstr>
  </property>
  <property fmtid="{D5CDD505-2E9C-101B-9397-08002B2CF9AE}" pid="8" name="SourceModified">
    <vt:lpwstr>D:20230719082354</vt:lpwstr>
  </property>
  <property fmtid="{D5CDD505-2E9C-101B-9397-08002B2CF9AE}" pid="9" name="TaxKeyword">
    <vt:lpwstr/>
  </property>
</Properties>
</file>